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DA" w:rsidRPr="006429C0" w:rsidRDefault="005561DA" w:rsidP="0022448C">
      <w:pPr>
        <w:spacing w:after="0" w:line="240" w:lineRule="auto"/>
        <w:rPr>
          <w:b/>
          <w:sz w:val="24"/>
          <w:szCs w:val="24"/>
        </w:rPr>
      </w:pPr>
      <w:r w:rsidRPr="006429C0">
        <w:rPr>
          <w:b/>
          <w:noProof/>
          <w:sz w:val="24"/>
          <w:szCs w:val="24"/>
          <w:lang w:eastAsia="en-GB"/>
        </w:rPr>
        <w:drawing>
          <wp:inline distT="0" distB="0" distL="0" distR="0">
            <wp:extent cx="2571006"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1574" cy="722869"/>
                    </a:xfrm>
                    <a:prstGeom prst="rect">
                      <a:avLst/>
                    </a:prstGeom>
                    <a:noFill/>
                    <a:ln>
                      <a:noFill/>
                    </a:ln>
                  </pic:spPr>
                </pic:pic>
              </a:graphicData>
            </a:graphic>
          </wp:inline>
        </w:drawing>
      </w:r>
    </w:p>
    <w:p w:rsidR="005561DA" w:rsidRPr="006429C0" w:rsidRDefault="005561DA" w:rsidP="0022448C">
      <w:pPr>
        <w:spacing w:after="0" w:line="240" w:lineRule="auto"/>
        <w:rPr>
          <w:b/>
          <w:sz w:val="24"/>
          <w:szCs w:val="24"/>
        </w:rPr>
      </w:pPr>
    </w:p>
    <w:p w:rsidR="005561DA" w:rsidRDefault="00C432F4" w:rsidP="00034C2B">
      <w:pPr>
        <w:spacing w:after="0" w:line="240" w:lineRule="auto"/>
        <w:rPr>
          <w:b/>
          <w:sz w:val="32"/>
          <w:szCs w:val="32"/>
        </w:rPr>
      </w:pPr>
      <w:r w:rsidRPr="00BE0528">
        <w:rPr>
          <w:b/>
          <w:sz w:val="32"/>
          <w:szCs w:val="32"/>
        </w:rPr>
        <w:t xml:space="preserve">TLAP response to </w:t>
      </w:r>
      <w:r w:rsidR="00F57F24" w:rsidRPr="00BE0528">
        <w:rPr>
          <w:b/>
          <w:sz w:val="32"/>
          <w:szCs w:val="32"/>
        </w:rPr>
        <w:t>White Paper Integration and Innovation: working together to improve health and social care for all</w:t>
      </w:r>
    </w:p>
    <w:p w:rsidR="00BD5596" w:rsidRDefault="00BD5596" w:rsidP="00034C2B">
      <w:pPr>
        <w:spacing w:after="0" w:line="240" w:lineRule="auto"/>
        <w:rPr>
          <w:b/>
          <w:i/>
          <w:sz w:val="32"/>
          <w:szCs w:val="32"/>
        </w:rPr>
      </w:pPr>
      <w:bookmarkStart w:id="0" w:name="_GoBack"/>
      <w:bookmarkEnd w:id="0"/>
    </w:p>
    <w:p w:rsidR="00034C2B" w:rsidRDefault="00C432F4" w:rsidP="00034C2B">
      <w:pPr>
        <w:spacing w:after="0" w:line="240" w:lineRule="auto"/>
        <w:rPr>
          <w:sz w:val="24"/>
          <w:szCs w:val="24"/>
        </w:rPr>
      </w:pPr>
      <w:r w:rsidRPr="006429C0">
        <w:rPr>
          <w:sz w:val="24"/>
          <w:szCs w:val="24"/>
        </w:rPr>
        <w:t xml:space="preserve">We have looked at the proposals for </w:t>
      </w:r>
      <w:r w:rsidR="00F57F24">
        <w:rPr>
          <w:sz w:val="24"/>
          <w:szCs w:val="24"/>
        </w:rPr>
        <w:t>improving health and care set out in the White Paper</w:t>
      </w:r>
      <w:r w:rsidR="00407E82">
        <w:rPr>
          <w:sz w:val="24"/>
          <w:szCs w:val="24"/>
        </w:rPr>
        <w:t xml:space="preserve"> and set out below is our feedback</w:t>
      </w:r>
      <w:r w:rsidR="00F57F24">
        <w:rPr>
          <w:sz w:val="24"/>
          <w:szCs w:val="24"/>
        </w:rPr>
        <w:t xml:space="preserve">. Our views are largely confined to those aspects which relate most to our interest </w:t>
      </w:r>
      <w:r w:rsidR="004A7B0F">
        <w:rPr>
          <w:sz w:val="24"/>
          <w:szCs w:val="24"/>
        </w:rPr>
        <w:t>i</w:t>
      </w:r>
      <w:r w:rsidR="00F57F24">
        <w:rPr>
          <w:sz w:val="24"/>
          <w:szCs w:val="24"/>
        </w:rPr>
        <w:t xml:space="preserve">n personalised and community-based forms of support. It builds on </w:t>
      </w:r>
      <w:r w:rsidR="00153C6A">
        <w:rPr>
          <w:sz w:val="24"/>
          <w:szCs w:val="24"/>
        </w:rPr>
        <w:t xml:space="preserve">our </w:t>
      </w:r>
      <w:r w:rsidR="00F57F24">
        <w:rPr>
          <w:sz w:val="24"/>
          <w:szCs w:val="24"/>
        </w:rPr>
        <w:t xml:space="preserve">earlier </w:t>
      </w:r>
      <w:r w:rsidR="00407E82">
        <w:rPr>
          <w:sz w:val="24"/>
          <w:szCs w:val="24"/>
        </w:rPr>
        <w:t>response</w:t>
      </w:r>
      <w:r w:rsidR="00F57F24">
        <w:rPr>
          <w:sz w:val="24"/>
          <w:szCs w:val="24"/>
        </w:rPr>
        <w:t xml:space="preserve"> to NHS England’s consultation on </w:t>
      </w:r>
      <w:r w:rsidRPr="006429C0">
        <w:rPr>
          <w:i/>
          <w:sz w:val="24"/>
          <w:szCs w:val="24"/>
        </w:rPr>
        <w:t>Next Steps to Building Strong and Effective Integrated Care Systems</w:t>
      </w:r>
      <w:r w:rsidR="00C82777" w:rsidRPr="006429C0">
        <w:rPr>
          <w:sz w:val="24"/>
          <w:szCs w:val="24"/>
        </w:rPr>
        <w:t xml:space="preserve"> (ICSs)</w:t>
      </w:r>
      <w:r w:rsidRPr="006429C0">
        <w:rPr>
          <w:sz w:val="24"/>
          <w:szCs w:val="24"/>
        </w:rPr>
        <w:t xml:space="preserve"> across England. </w:t>
      </w:r>
      <w:r w:rsidR="005561DA" w:rsidRPr="006429C0">
        <w:rPr>
          <w:sz w:val="24"/>
          <w:szCs w:val="24"/>
        </w:rPr>
        <w:t>This response has been agreed with members of the TLAP Board</w:t>
      </w:r>
      <w:r w:rsidR="00F57F24">
        <w:rPr>
          <w:sz w:val="24"/>
          <w:szCs w:val="24"/>
        </w:rPr>
        <w:t xml:space="preserve">. We know that </w:t>
      </w:r>
      <w:r w:rsidR="00120E7B" w:rsidRPr="006429C0">
        <w:rPr>
          <w:sz w:val="24"/>
          <w:szCs w:val="24"/>
        </w:rPr>
        <w:t xml:space="preserve">some TLAP Partners </w:t>
      </w:r>
      <w:r w:rsidR="00F57F24">
        <w:rPr>
          <w:sz w:val="24"/>
          <w:szCs w:val="24"/>
        </w:rPr>
        <w:t xml:space="preserve">have </w:t>
      </w:r>
      <w:r w:rsidR="00407E82">
        <w:rPr>
          <w:sz w:val="24"/>
          <w:szCs w:val="24"/>
        </w:rPr>
        <w:t xml:space="preserve">already </w:t>
      </w:r>
      <w:r w:rsidR="00F57F24">
        <w:rPr>
          <w:sz w:val="24"/>
          <w:szCs w:val="24"/>
        </w:rPr>
        <w:t>responded i</w:t>
      </w:r>
      <w:r w:rsidR="00120E7B" w:rsidRPr="006429C0">
        <w:rPr>
          <w:sz w:val="24"/>
          <w:szCs w:val="24"/>
        </w:rPr>
        <w:t>n their own right</w:t>
      </w:r>
      <w:r w:rsidR="005561DA" w:rsidRPr="006429C0">
        <w:rPr>
          <w:sz w:val="24"/>
          <w:szCs w:val="24"/>
        </w:rPr>
        <w:t>.</w:t>
      </w:r>
      <w:r w:rsidR="00034C2B" w:rsidRPr="006429C0">
        <w:rPr>
          <w:sz w:val="24"/>
          <w:szCs w:val="24"/>
        </w:rPr>
        <w:t xml:space="preserve"> </w:t>
      </w:r>
    </w:p>
    <w:p w:rsidR="00F57F24" w:rsidRDefault="00F57F24" w:rsidP="00034C2B">
      <w:pPr>
        <w:spacing w:after="0" w:line="240" w:lineRule="auto"/>
        <w:rPr>
          <w:sz w:val="24"/>
          <w:szCs w:val="24"/>
        </w:rPr>
      </w:pPr>
    </w:p>
    <w:p w:rsidR="004B12B6" w:rsidRPr="004B12B6" w:rsidRDefault="004B12B6" w:rsidP="004B12B6">
      <w:pPr>
        <w:spacing w:after="0" w:line="240" w:lineRule="auto"/>
        <w:rPr>
          <w:sz w:val="24"/>
          <w:szCs w:val="24"/>
        </w:rPr>
      </w:pPr>
      <w:r>
        <w:rPr>
          <w:sz w:val="24"/>
          <w:szCs w:val="24"/>
        </w:rPr>
        <w:t xml:space="preserve">TLAP’s </w:t>
      </w:r>
      <w:r w:rsidRPr="004B12B6">
        <w:rPr>
          <w:sz w:val="24"/>
          <w:szCs w:val="24"/>
        </w:rPr>
        <w:t>support</w:t>
      </w:r>
      <w:r>
        <w:rPr>
          <w:sz w:val="24"/>
          <w:szCs w:val="24"/>
        </w:rPr>
        <w:t>s</w:t>
      </w:r>
      <w:r w:rsidRPr="004B12B6">
        <w:rPr>
          <w:sz w:val="24"/>
          <w:szCs w:val="24"/>
        </w:rPr>
        <w:t xml:space="preserve"> the ambition of improving health and care so that people experience </w:t>
      </w:r>
    </w:p>
    <w:p w:rsidR="004B12B6" w:rsidRDefault="004B12B6" w:rsidP="003C1BBA">
      <w:pPr>
        <w:spacing w:after="0" w:line="240" w:lineRule="auto"/>
        <w:rPr>
          <w:sz w:val="24"/>
          <w:szCs w:val="24"/>
        </w:rPr>
      </w:pPr>
      <w:r>
        <w:rPr>
          <w:sz w:val="24"/>
          <w:szCs w:val="24"/>
        </w:rPr>
        <w:t>personalised support i</w:t>
      </w:r>
      <w:r w:rsidRPr="004B12B6">
        <w:rPr>
          <w:sz w:val="24"/>
          <w:szCs w:val="24"/>
        </w:rPr>
        <w:t xml:space="preserve">n line with the </w:t>
      </w:r>
      <w:hyperlink r:id="rId9" w:history="1">
        <w:r w:rsidRPr="004B12B6">
          <w:rPr>
            <w:rStyle w:val="Hyperlink"/>
            <w:i/>
            <w:sz w:val="24"/>
            <w:szCs w:val="24"/>
          </w:rPr>
          <w:t>Making it Real</w:t>
        </w:r>
      </w:hyperlink>
      <w:r w:rsidRPr="004B12B6">
        <w:rPr>
          <w:sz w:val="24"/>
          <w:szCs w:val="24"/>
        </w:rPr>
        <w:t xml:space="preserve"> I statement that “</w:t>
      </w:r>
      <w:r w:rsidRPr="004B12B6">
        <w:rPr>
          <w:i/>
          <w:sz w:val="24"/>
          <w:szCs w:val="24"/>
        </w:rPr>
        <w:t>I have care and support that is coordinated and everyone works well together and with me”</w:t>
      </w:r>
      <w:r>
        <w:rPr>
          <w:i/>
          <w:sz w:val="24"/>
          <w:szCs w:val="24"/>
        </w:rPr>
        <w:t>.</w:t>
      </w:r>
      <w:r w:rsidRPr="004B12B6">
        <w:rPr>
          <w:sz w:val="24"/>
          <w:szCs w:val="24"/>
        </w:rPr>
        <w:t xml:space="preserve">  Removing barriers to integration, getting rid of unnecessary bureaucracy and improving accountability and responsiveness are all worthwhile aims</w:t>
      </w:r>
      <w:r>
        <w:rPr>
          <w:sz w:val="24"/>
          <w:szCs w:val="24"/>
        </w:rPr>
        <w:t xml:space="preserve">. Set out below are </w:t>
      </w:r>
      <w:r w:rsidR="004227E7">
        <w:rPr>
          <w:sz w:val="24"/>
          <w:szCs w:val="24"/>
        </w:rPr>
        <w:t xml:space="preserve">some areas </w:t>
      </w:r>
      <w:r>
        <w:rPr>
          <w:sz w:val="24"/>
          <w:szCs w:val="24"/>
        </w:rPr>
        <w:t xml:space="preserve">which </w:t>
      </w:r>
      <w:r w:rsidR="00A91025">
        <w:rPr>
          <w:sz w:val="24"/>
          <w:szCs w:val="24"/>
        </w:rPr>
        <w:t xml:space="preserve">we think should </w:t>
      </w:r>
      <w:r w:rsidR="004227E7">
        <w:rPr>
          <w:sz w:val="24"/>
          <w:szCs w:val="24"/>
        </w:rPr>
        <w:t xml:space="preserve">be considered if the </w:t>
      </w:r>
      <w:r>
        <w:rPr>
          <w:sz w:val="24"/>
          <w:szCs w:val="24"/>
        </w:rPr>
        <w:t xml:space="preserve">ambition and aims </w:t>
      </w:r>
      <w:r w:rsidR="004227E7">
        <w:rPr>
          <w:sz w:val="24"/>
          <w:szCs w:val="24"/>
        </w:rPr>
        <w:t xml:space="preserve">of the White Paper are to be realised. </w:t>
      </w:r>
    </w:p>
    <w:p w:rsidR="004B12B6" w:rsidRPr="004B12B6" w:rsidRDefault="004B12B6" w:rsidP="003C1BBA">
      <w:pPr>
        <w:spacing w:after="0" w:line="240" w:lineRule="auto"/>
        <w:rPr>
          <w:b/>
          <w:sz w:val="24"/>
          <w:szCs w:val="24"/>
        </w:rPr>
      </w:pPr>
    </w:p>
    <w:p w:rsidR="00140756" w:rsidRDefault="00B924F3" w:rsidP="003C1BBA">
      <w:pPr>
        <w:spacing w:after="0" w:line="240" w:lineRule="auto"/>
        <w:rPr>
          <w:b/>
          <w:sz w:val="24"/>
          <w:szCs w:val="24"/>
        </w:rPr>
      </w:pPr>
      <w:r w:rsidRPr="00B924F3">
        <w:rPr>
          <w:b/>
          <w:sz w:val="24"/>
          <w:szCs w:val="24"/>
        </w:rPr>
        <w:t>Improving people’s health and wellbeing</w:t>
      </w:r>
      <w:r w:rsidR="00140756">
        <w:rPr>
          <w:b/>
          <w:sz w:val="24"/>
          <w:szCs w:val="24"/>
        </w:rPr>
        <w:t xml:space="preserve"> </w:t>
      </w:r>
      <w:r w:rsidR="00D33D17">
        <w:rPr>
          <w:b/>
          <w:sz w:val="24"/>
          <w:szCs w:val="24"/>
        </w:rPr>
        <w:t>as the driving force</w:t>
      </w:r>
    </w:p>
    <w:p w:rsidR="004B12B6" w:rsidRDefault="004B12B6" w:rsidP="003C1BBA">
      <w:pPr>
        <w:spacing w:after="0" w:line="240" w:lineRule="auto"/>
        <w:rPr>
          <w:sz w:val="24"/>
          <w:szCs w:val="24"/>
        </w:rPr>
      </w:pPr>
    </w:p>
    <w:p w:rsidR="000977F6" w:rsidRDefault="00407E82" w:rsidP="003C1BBA">
      <w:pPr>
        <w:spacing w:after="0" w:line="240" w:lineRule="auto"/>
        <w:rPr>
          <w:sz w:val="24"/>
          <w:szCs w:val="24"/>
        </w:rPr>
      </w:pPr>
      <w:r>
        <w:rPr>
          <w:sz w:val="24"/>
          <w:szCs w:val="24"/>
        </w:rPr>
        <w:t xml:space="preserve">The legislation and subsequent guidance should </w:t>
      </w:r>
      <w:r w:rsidR="004B12B6">
        <w:rPr>
          <w:sz w:val="24"/>
          <w:szCs w:val="24"/>
        </w:rPr>
        <w:t xml:space="preserve">more </w:t>
      </w:r>
      <w:r>
        <w:rPr>
          <w:sz w:val="24"/>
          <w:szCs w:val="24"/>
        </w:rPr>
        <w:t>loudly affirm the goal of improving people’s health and wellbeing a</w:t>
      </w:r>
      <w:r w:rsidR="00C00C53">
        <w:rPr>
          <w:sz w:val="24"/>
          <w:szCs w:val="24"/>
        </w:rPr>
        <w:t xml:space="preserve">s the driving force of </w:t>
      </w:r>
      <w:r>
        <w:rPr>
          <w:sz w:val="24"/>
          <w:szCs w:val="24"/>
        </w:rPr>
        <w:t>the proposed changes</w:t>
      </w:r>
      <w:r w:rsidR="000977F6">
        <w:rPr>
          <w:sz w:val="24"/>
          <w:szCs w:val="24"/>
        </w:rPr>
        <w:t xml:space="preserve">. </w:t>
      </w:r>
      <w:r w:rsidR="00C00C53">
        <w:rPr>
          <w:sz w:val="24"/>
          <w:szCs w:val="24"/>
        </w:rPr>
        <w:t>S</w:t>
      </w:r>
      <w:r>
        <w:rPr>
          <w:sz w:val="24"/>
          <w:szCs w:val="24"/>
        </w:rPr>
        <w:t xml:space="preserve">uch a strong statement is important we think to guard against </w:t>
      </w:r>
      <w:r w:rsidR="00C00C53">
        <w:rPr>
          <w:sz w:val="24"/>
          <w:szCs w:val="24"/>
        </w:rPr>
        <w:t>a risk of a</w:t>
      </w:r>
      <w:r>
        <w:rPr>
          <w:sz w:val="24"/>
          <w:szCs w:val="24"/>
        </w:rPr>
        <w:t xml:space="preserve"> disproportionate focus on structure </w:t>
      </w:r>
      <w:r w:rsidR="00C00C53">
        <w:rPr>
          <w:sz w:val="24"/>
          <w:szCs w:val="24"/>
        </w:rPr>
        <w:t>when it comes to implementing the reforms.</w:t>
      </w:r>
      <w:r w:rsidR="00153C6A">
        <w:rPr>
          <w:sz w:val="24"/>
          <w:szCs w:val="24"/>
        </w:rPr>
        <w:t xml:space="preserve"> </w:t>
      </w:r>
      <w:r w:rsidR="004A7B0F">
        <w:rPr>
          <w:sz w:val="24"/>
          <w:szCs w:val="24"/>
        </w:rPr>
        <w:t xml:space="preserve">It will act as an important point of reference </w:t>
      </w:r>
      <w:r w:rsidR="004B12B6">
        <w:rPr>
          <w:sz w:val="24"/>
          <w:szCs w:val="24"/>
        </w:rPr>
        <w:t xml:space="preserve">to help remind us all of the central purpose. </w:t>
      </w:r>
    </w:p>
    <w:p w:rsidR="004B12B6" w:rsidRDefault="004B12B6" w:rsidP="003C1BBA">
      <w:pPr>
        <w:spacing w:after="0" w:line="240" w:lineRule="auto"/>
        <w:rPr>
          <w:sz w:val="24"/>
          <w:szCs w:val="24"/>
        </w:rPr>
      </w:pPr>
    </w:p>
    <w:p w:rsidR="006537BB" w:rsidRPr="00660245" w:rsidRDefault="006537BB" w:rsidP="00A509EF">
      <w:pPr>
        <w:spacing w:after="0" w:line="240" w:lineRule="auto"/>
        <w:rPr>
          <w:b/>
          <w:sz w:val="24"/>
          <w:szCs w:val="24"/>
        </w:rPr>
      </w:pPr>
      <w:r w:rsidRPr="00660245">
        <w:rPr>
          <w:b/>
          <w:sz w:val="24"/>
          <w:szCs w:val="24"/>
        </w:rPr>
        <w:t xml:space="preserve">Missing </w:t>
      </w:r>
      <w:r w:rsidR="006C0CFC" w:rsidRPr="00660245">
        <w:rPr>
          <w:b/>
          <w:sz w:val="24"/>
          <w:szCs w:val="24"/>
        </w:rPr>
        <w:t>links</w:t>
      </w:r>
      <w:r w:rsidRPr="00660245">
        <w:rPr>
          <w:b/>
          <w:sz w:val="24"/>
          <w:szCs w:val="24"/>
        </w:rPr>
        <w:t xml:space="preserve"> for integration</w:t>
      </w:r>
    </w:p>
    <w:p w:rsidR="006537BB" w:rsidRPr="00660245" w:rsidRDefault="006537BB" w:rsidP="00A509EF">
      <w:pPr>
        <w:spacing w:after="0" w:line="240" w:lineRule="auto"/>
        <w:rPr>
          <w:b/>
          <w:sz w:val="24"/>
          <w:szCs w:val="24"/>
        </w:rPr>
      </w:pPr>
    </w:p>
    <w:p w:rsidR="006C0CFC" w:rsidRPr="00660245" w:rsidRDefault="006C0CFC" w:rsidP="006C0CFC">
      <w:pPr>
        <w:spacing w:after="0" w:line="240" w:lineRule="auto"/>
        <w:rPr>
          <w:sz w:val="24"/>
          <w:szCs w:val="24"/>
        </w:rPr>
      </w:pPr>
      <w:r w:rsidRPr="00660245">
        <w:rPr>
          <w:sz w:val="24"/>
          <w:szCs w:val="24"/>
        </w:rPr>
        <w:t>The White Paper makes it clear that it is not the place for setting out details of the reforms to public health or adult social care. Both are vital to achieving</w:t>
      </w:r>
      <w:r w:rsidR="00E5177C" w:rsidRPr="00660245">
        <w:rPr>
          <w:sz w:val="24"/>
          <w:szCs w:val="24"/>
        </w:rPr>
        <w:t xml:space="preserve"> the vision of </w:t>
      </w:r>
      <w:r w:rsidRPr="00660245">
        <w:rPr>
          <w:sz w:val="24"/>
          <w:szCs w:val="24"/>
        </w:rPr>
        <w:t>truly integrated health and care</w:t>
      </w:r>
      <w:r w:rsidR="00E5177C" w:rsidRPr="00660245">
        <w:rPr>
          <w:sz w:val="24"/>
          <w:szCs w:val="24"/>
        </w:rPr>
        <w:t>. W</w:t>
      </w:r>
      <w:r w:rsidRPr="00660245">
        <w:rPr>
          <w:sz w:val="24"/>
          <w:szCs w:val="24"/>
        </w:rPr>
        <w:t xml:space="preserve">ithout clarity about the role, resources and contribution of public health and social care there is a risk of </w:t>
      </w:r>
      <w:r w:rsidR="00E5177C" w:rsidRPr="00660245">
        <w:rPr>
          <w:sz w:val="24"/>
          <w:szCs w:val="24"/>
        </w:rPr>
        <w:t xml:space="preserve">an unduly narrow view of integration being embedded, even if that is not the intention. </w:t>
      </w:r>
    </w:p>
    <w:p w:rsidR="00660245" w:rsidRDefault="00660245" w:rsidP="00A509EF">
      <w:pPr>
        <w:spacing w:after="0" w:line="240" w:lineRule="auto"/>
        <w:rPr>
          <w:b/>
          <w:sz w:val="24"/>
          <w:szCs w:val="24"/>
        </w:rPr>
      </w:pPr>
    </w:p>
    <w:p w:rsidR="000977F6" w:rsidRDefault="00660245" w:rsidP="00A509EF">
      <w:pPr>
        <w:spacing w:after="0" w:line="240" w:lineRule="auto"/>
        <w:rPr>
          <w:b/>
          <w:sz w:val="24"/>
          <w:szCs w:val="24"/>
        </w:rPr>
      </w:pPr>
      <w:r>
        <w:rPr>
          <w:b/>
          <w:sz w:val="24"/>
          <w:szCs w:val="24"/>
        </w:rPr>
        <w:t>P</w:t>
      </w:r>
      <w:r w:rsidR="000977F6">
        <w:rPr>
          <w:b/>
          <w:sz w:val="24"/>
          <w:szCs w:val="24"/>
        </w:rPr>
        <w:t xml:space="preserve">ersonalisation </w:t>
      </w:r>
      <w:r w:rsidR="004B12B6">
        <w:rPr>
          <w:b/>
          <w:sz w:val="24"/>
          <w:szCs w:val="24"/>
        </w:rPr>
        <w:t>needs</w:t>
      </w:r>
      <w:r w:rsidR="004227E7">
        <w:rPr>
          <w:b/>
          <w:sz w:val="24"/>
          <w:szCs w:val="24"/>
        </w:rPr>
        <w:t xml:space="preserve"> continued attention</w:t>
      </w:r>
    </w:p>
    <w:p w:rsidR="004B12B6" w:rsidRDefault="004B12B6" w:rsidP="00A509EF">
      <w:pPr>
        <w:spacing w:after="0" w:line="240" w:lineRule="auto"/>
        <w:rPr>
          <w:sz w:val="24"/>
          <w:szCs w:val="24"/>
        </w:rPr>
      </w:pPr>
    </w:p>
    <w:p w:rsidR="00BA11F5" w:rsidRDefault="004A7B0F" w:rsidP="00A509EF">
      <w:pPr>
        <w:spacing w:after="0" w:line="240" w:lineRule="auto"/>
        <w:rPr>
          <w:sz w:val="24"/>
          <w:szCs w:val="24"/>
        </w:rPr>
      </w:pPr>
      <w:r>
        <w:rPr>
          <w:sz w:val="24"/>
          <w:szCs w:val="24"/>
        </w:rPr>
        <w:t>The promise</w:t>
      </w:r>
      <w:r w:rsidR="004B12B6">
        <w:rPr>
          <w:sz w:val="24"/>
          <w:szCs w:val="24"/>
        </w:rPr>
        <w:t xml:space="preserve"> </w:t>
      </w:r>
      <w:r>
        <w:rPr>
          <w:sz w:val="24"/>
          <w:szCs w:val="24"/>
        </w:rPr>
        <w:t xml:space="preserve">in the Care Act of personalised care and support with choice and control has only been partly achieved. The NHS Model of Comprehensive </w:t>
      </w:r>
      <w:r w:rsidR="004B12B6">
        <w:rPr>
          <w:sz w:val="24"/>
          <w:szCs w:val="24"/>
        </w:rPr>
        <w:t xml:space="preserve">Universal </w:t>
      </w:r>
      <w:r>
        <w:rPr>
          <w:sz w:val="24"/>
          <w:szCs w:val="24"/>
        </w:rPr>
        <w:t>Personalised Care is still relatively early</w:t>
      </w:r>
      <w:r w:rsidR="004227E7">
        <w:rPr>
          <w:sz w:val="24"/>
          <w:szCs w:val="24"/>
        </w:rPr>
        <w:t xml:space="preserve"> on </w:t>
      </w:r>
      <w:r>
        <w:rPr>
          <w:sz w:val="24"/>
          <w:szCs w:val="24"/>
        </w:rPr>
        <w:t xml:space="preserve">in its implementation. It is important therefore that the ICSs have </w:t>
      </w:r>
      <w:r w:rsidR="004B12B6">
        <w:rPr>
          <w:sz w:val="24"/>
          <w:szCs w:val="24"/>
        </w:rPr>
        <w:t xml:space="preserve">personalisation </w:t>
      </w:r>
      <w:r>
        <w:rPr>
          <w:sz w:val="24"/>
          <w:szCs w:val="24"/>
        </w:rPr>
        <w:t>high on their ‘to do list’</w:t>
      </w:r>
      <w:r w:rsidR="004227E7">
        <w:rPr>
          <w:sz w:val="24"/>
          <w:szCs w:val="24"/>
        </w:rPr>
        <w:t>,</w:t>
      </w:r>
      <w:r>
        <w:rPr>
          <w:sz w:val="24"/>
          <w:szCs w:val="24"/>
        </w:rPr>
        <w:t xml:space="preserve"> which should be emphasised in the guidance. </w:t>
      </w:r>
      <w:r w:rsidR="004227E7">
        <w:rPr>
          <w:sz w:val="24"/>
          <w:szCs w:val="24"/>
        </w:rPr>
        <w:t xml:space="preserve"> </w:t>
      </w:r>
      <w:r w:rsidR="004227E7">
        <w:rPr>
          <w:sz w:val="24"/>
          <w:szCs w:val="24"/>
        </w:rPr>
        <w:lastRenderedPageBreak/>
        <w:t xml:space="preserve">There should also be continued focus at the national level on driving forward with personalisation linked to </w:t>
      </w:r>
      <w:r w:rsidR="00A91025">
        <w:rPr>
          <w:sz w:val="24"/>
          <w:szCs w:val="24"/>
        </w:rPr>
        <w:t xml:space="preserve">the </w:t>
      </w:r>
      <w:r w:rsidR="004227E7">
        <w:rPr>
          <w:sz w:val="24"/>
          <w:szCs w:val="24"/>
        </w:rPr>
        <w:t xml:space="preserve">transformation and reform of adult social care. </w:t>
      </w:r>
    </w:p>
    <w:p w:rsidR="00BA11F5" w:rsidRDefault="00BA11F5" w:rsidP="00A509EF">
      <w:pPr>
        <w:spacing w:after="0" w:line="240" w:lineRule="auto"/>
        <w:rPr>
          <w:sz w:val="24"/>
          <w:szCs w:val="24"/>
        </w:rPr>
      </w:pPr>
    </w:p>
    <w:p w:rsidR="004A7B0F" w:rsidRPr="004A7B0F" w:rsidRDefault="008E4091" w:rsidP="00A509EF">
      <w:pPr>
        <w:spacing w:after="0" w:line="240" w:lineRule="auto"/>
        <w:rPr>
          <w:sz w:val="24"/>
          <w:szCs w:val="24"/>
        </w:rPr>
      </w:pPr>
      <w:r>
        <w:rPr>
          <w:sz w:val="24"/>
          <w:szCs w:val="24"/>
        </w:rPr>
        <w:t>The drive to reduce bureaucracy should extend to reducing the amount of bureaucracy people face when choosing to self-direct their own support</w:t>
      </w:r>
      <w:r w:rsidR="00BA11F5">
        <w:rPr>
          <w:sz w:val="24"/>
          <w:szCs w:val="24"/>
        </w:rPr>
        <w:t xml:space="preserve"> through a personal budget or personal health budget.</w:t>
      </w:r>
    </w:p>
    <w:p w:rsidR="000977F6" w:rsidRDefault="000977F6" w:rsidP="00A509EF">
      <w:pPr>
        <w:spacing w:after="0" w:line="240" w:lineRule="auto"/>
        <w:rPr>
          <w:b/>
          <w:sz w:val="24"/>
          <w:szCs w:val="24"/>
        </w:rPr>
      </w:pPr>
    </w:p>
    <w:p w:rsidR="00A509EF" w:rsidRPr="00B924F3" w:rsidRDefault="00A509EF" w:rsidP="00A509EF">
      <w:pPr>
        <w:spacing w:after="0" w:line="240" w:lineRule="auto"/>
        <w:rPr>
          <w:b/>
          <w:sz w:val="24"/>
          <w:szCs w:val="24"/>
        </w:rPr>
      </w:pPr>
      <w:r w:rsidRPr="00B924F3">
        <w:rPr>
          <w:b/>
          <w:sz w:val="24"/>
          <w:szCs w:val="24"/>
        </w:rPr>
        <w:t>Co-production as a guiding principle</w:t>
      </w:r>
    </w:p>
    <w:p w:rsidR="004B12B6" w:rsidRDefault="004B12B6" w:rsidP="003C1BBA">
      <w:pPr>
        <w:spacing w:after="0" w:line="240" w:lineRule="auto"/>
        <w:rPr>
          <w:sz w:val="24"/>
          <w:szCs w:val="24"/>
        </w:rPr>
      </w:pPr>
    </w:p>
    <w:p w:rsidR="00C00C53" w:rsidRDefault="00C00C53" w:rsidP="003C1BBA">
      <w:pPr>
        <w:spacing w:after="0" w:line="240" w:lineRule="auto"/>
        <w:rPr>
          <w:sz w:val="24"/>
          <w:szCs w:val="24"/>
        </w:rPr>
      </w:pPr>
      <w:r>
        <w:rPr>
          <w:sz w:val="24"/>
          <w:szCs w:val="24"/>
        </w:rPr>
        <w:t>With th</w:t>
      </w:r>
      <w:r w:rsidR="00153C6A">
        <w:rPr>
          <w:sz w:val="24"/>
          <w:szCs w:val="24"/>
        </w:rPr>
        <w:t>e above in</w:t>
      </w:r>
      <w:r>
        <w:rPr>
          <w:sz w:val="24"/>
          <w:szCs w:val="24"/>
        </w:rPr>
        <w:t xml:space="preserve"> mind</w:t>
      </w:r>
      <w:r w:rsidR="00153C6A">
        <w:rPr>
          <w:sz w:val="24"/>
          <w:szCs w:val="24"/>
        </w:rPr>
        <w:t>,</w:t>
      </w:r>
      <w:r>
        <w:rPr>
          <w:sz w:val="24"/>
          <w:szCs w:val="24"/>
        </w:rPr>
        <w:t xml:space="preserve"> </w:t>
      </w:r>
      <w:r w:rsidR="003C1BBA" w:rsidRPr="006429C0">
        <w:rPr>
          <w:sz w:val="24"/>
          <w:szCs w:val="24"/>
        </w:rPr>
        <w:t xml:space="preserve">we </w:t>
      </w:r>
      <w:r w:rsidR="003A1C04">
        <w:rPr>
          <w:sz w:val="24"/>
          <w:szCs w:val="24"/>
        </w:rPr>
        <w:t xml:space="preserve">think it imperative that the legislation </w:t>
      </w:r>
      <w:r w:rsidR="003C1BBA" w:rsidRPr="006429C0">
        <w:rPr>
          <w:sz w:val="24"/>
          <w:szCs w:val="24"/>
        </w:rPr>
        <w:t>acknowledge</w:t>
      </w:r>
      <w:r w:rsidR="003A1C04">
        <w:rPr>
          <w:sz w:val="24"/>
          <w:szCs w:val="24"/>
        </w:rPr>
        <w:t xml:space="preserve">s and guidance reinforces </w:t>
      </w:r>
      <w:r w:rsidR="003C1BBA" w:rsidRPr="006429C0">
        <w:rPr>
          <w:sz w:val="24"/>
          <w:szCs w:val="24"/>
        </w:rPr>
        <w:t xml:space="preserve">the involvement of people with lived experience </w:t>
      </w:r>
      <w:r>
        <w:rPr>
          <w:sz w:val="24"/>
          <w:szCs w:val="24"/>
        </w:rPr>
        <w:t xml:space="preserve">(including unpaid carers) </w:t>
      </w:r>
      <w:r w:rsidR="003A1C04">
        <w:rPr>
          <w:sz w:val="24"/>
          <w:szCs w:val="24"/>
        </w:rPr>
        <w:t>as a critical success factor i</w:t>
      </w:r>
      <w:r w:rsidR="003C1BBA" w:rsidRPr="006429C0">
        <w:rPr>
          <w:sz w:val="24"/>
          <w:szCs w:val="24"/>
        </w:rPr>
        <w:t xml:space="preserve">n </w:t>
      </w:r>
      <w:r w:rsidR="003A1C04">
        <w:rPr>
          <w:sz w:val="24"/>
          <w:szCs w:val="24"/>
        </w:rPr>
        <w:t xml:space="preserve">making the </w:t>
      </w:r>
      <w:r w:rsidR="003C1BBA" w:rsidRPr="006429C0">
        <w:rPr>
          <w:sz w:val="24"/>
          <w:szCs w:val="24"/>
        </w:rPr>
        <w:t xml:space="preserve">proposed </w:t>
      </w:r>
      <w:r w:rsidR="000977F6">
        <w:rPr>
          <w:sz w:val="24"/>
          <w:szCs w:val="24"/>
        </w:rPr>
        <w:t xml:space="preserve">arrangements and </w:t>
      </w:r>
      <w:r w:rsidR="003C1BBA" w:rsidRPr="006429C0">
        <w:rPr>
          <w:sz w:val="24"/>
          <w:szCs w:val="24"/>
        </w:rPr>
        <w:t>structures</w:t>
      </w:r>
      <w:r w:rsidR="003A1C04">
        <w:rPr>
          <w:sz w:val="24"/>
          <w:szCs w:val="24"/>
        </w:rPr>
        <w:t xml:space="preserve"> work</w:t>
      </w:r>
      <w:r w:rsidR="003C1BBA" w:rsidRPr="006429C0">
        <w:rPr>
          <w:sz w:val="24"/>
          <w:szCs w:val="24"/>
        </w:rPr>
        <w:t xml:space="preserve">.  The views and experiences of people must be at the heart of these changes and unless this is achieved in a meaningful and sustainable way no amount of structural change is likely to succeed in achieving the objectives </w:t>
      </w:r>
      <w:r>
        <w:rPr>
          <w:sz w:val="24"/>
          <w:szCs w:val="24"/>
        </w:rPr>
        <w:t xml:space="preserve">of better and more joined up health and care. </w:t>
      </w:r>
      <w:r w:rsidR="000977F6">
        <w:rPr>
          <w:sz w:val="24"/>
          <w:szCs w:val="24"/>
        </w:rPr>
        <w:t>Involving people must become ‘the way we do things around here’.</w:t>
      </w:r>
      <w:r w:rsidR="00BA11F5">
        <w:rPr>
          <w:sz w:val="24"/>
          <w:szCs w:val="24"/>
        </w:rPr>
        <w:t xml:space="preserve"> </w:t>
      </w:r>
    </w:p>
    <w:p w:rsidR="00C00C53" w:rsidRDefault="00C00C53" w:rsidP="003C1BBA">
      <w:pPr>
        <w:spacing w:after="0" w:line="240" w:lineRule="auto"/>
        <w:rPr>
          <w:sz w:val="24"/>
          <w:szCs w:val="24"/>
        </w:rPr>
      </w:pPr>
    </w:p>
    <w:p w:rsidR="00C00C53" w:rsidRDefault="00C00C53" w:rsidP="003C1BBA">
      <w:pPr>
        <w:spacing w:after="0" w:line="240" w:lineRule="auto"/>
        <w:rPr>
          <w:sz w:val="24"/>
          <w:szCs w:val="24"/>
        </w:rPr>
      </w:pPr>
      <w:r>
        <w:rPr>
          <w:sz w:val="24"/>
          <w:szCs w:val="24"/>
        </w:rPr>
        <w:t xml:space="preserve">We </w:t>
      </w:r>
      <w:r w:rsidR="004B12B6">
        <w:rPr>
          <w:sz w:val="24"/>
          <w:szCs w:val="24"/>
        </w:rPr>
        <w:t xml:space="preserve">endorse the view </w:t>
      </w:r>
      <w:r>
        <w:rPr>
          <w:sz w:val="24"/>
          <w:szCs w:val="24"/>
        </w:rPr>
        <w:t xml:space="preserve">that it is best not to prescribe the precise working arrangements of the ICS Boards and Health and Care Partnerships in </w:t>
      </w:r>
      <w:r w:rsidR="00A509EF">
        <w:rPr>
          <w:sz w:val="24"/>
          <w:szCs w:val="24"/>
        </w:rPr>
        <w:t xml:space="preserve">either </w:t>
      </w:r>
      <w:r>
        <w:rPr>
          <w:sz w:val="24"/>
          <w:szCs w:val="24"/>
        </w:rPr>
        <w:t>the legislation or guidance</w:t>
      </w:r>
      <w:r w:rsidR="00B924F3">
        <w:rPr>
          <w:sz w:val="24"/>
          <w:szCs w:val="24"/>
        </w:rPr>
        <w:t>,</w:t>
      </w:r>
      <w:r w:rsidR="00153C6A">
        <w:rPr>
          <w:sz w:val="24"/>
          <w:szCs w:val="24"/>
        </w:rPr>
        <w:t xml:space="preserve"> as the</w:t>
      </w:r>
      <w:r w:rsidR="00A509EF">
        <w:rPr>
          <w:sz w:val="24"/>
          <w:szCs w:val="24"/>
        </w:rPr>
        <w:t>y</w:t>
      </w:r>
      <w:r w:rsidR="00153C6A">
        <w:rPr>
          <w:sz w:val="24"/>
          <w:szCs w:val="24"/>
        </w:rPr>
        <w:t xml:space="preserve"> </w:t>
      </w:r>
      <w:r>
        <w:rPr>
          <w:sz w:val="24"/>
          <w:szCs w:val="24"/>
        </w:rPr>
        <w:t xml:space="preserve">need to fit with local circumstances and be flexible enough to adapt over time. </w:t>
      </w:r>
      <w:r w:rsidR="00F53D68">
        <w:rPr>
          <w:sz w:val="24"/>
          <w:szCs w:val="24"/>
        </w:rPr>
        <w:t>H</w:t>
      </w:r>
      <w:r>
        <w:rPr>
          <w:sz w:val="24"/>
          <w:szCs w:val="24"/>
        </w:rPr>
        <w:t xml:space="preserve">owever, we do think that there should be a strong </w:t>
      </w:r>
      <w:r w:rsidR="00A509EF">
        <w:rPr>
          <w:sz w:val="24"/>
          <w:szCs w:val="24"/>
        </w:rPr>
        <w:t>expectation and</w:t>
      </w:r>
      <w:r>
        <w:rPr>
          <w:sz w:val="24"/>
          <w:szCs w:val="24"/>
        </w:rPr>
        <w:t xml:space="preserve"> clear </w:t>
      </w:r>
      <w:r w:rsidR="00A509EF">
        <w:rPr>
          <w:sz w:val="24"/>
          <w:szCs w:val="24"/>
        </w:rPr>
        <w:t xml:space="preserve">requirement </w:t>
      </w:r>
      <w:r>
        <w:rPr>
          <w:sz w:val="24"/>
          <w:szCs w:val="24"/>
        </w:rPr>
        <w:t xml:space="preserve">that co-production </w:t>
      </w:r>
      <w:r w:rsidR="00140756">
        <w:rPr>
          <w:sz w:val="24"/>
          <w:szCs w:val="24"/>
        </w:rPr>
        <w:t xml:space="preserve">is </w:t>
      </w:r>
      <w:r>
        <w:rPr>
          <w:sz w:val="24"/>
          <w:szCs w:val="24"/>
        </w:rPr>
        <w:t>woven into the</w:t>
      </w:r>
      <w:r w:rsidR="00F53D68">
        <w:rPr>
          <w:sz w:val="24"/>
          <w:szCs w:val="24"/>
        </w:rPr>
        <w:t>ir</w:t>
      </w:r>
      <w:r>
        <w:rPr>
          <w:sz w:val="24"/>
          <w:szCs w:val="24"/>
        </w:rPr>
        <w:t xml:space="preserve"> fabric</w:t>
      </w:r>
      <w:r w:rsidR="00F53D68">
        <w:rPr>
          <w:sz w:val="24"/>
          <w:szCs w:val="24"/>
        </w:rPr>
        <w:t>.</w:t>
      </w:r>
      <w:r>
        <w:rPr>
          <w:sz w:val="24"/>
          <w:szCs w:val="24"/>
        </w:rPr>
        <w:t xml:space="preserve"> It cannot therefore simply be a case of ‘lifting and shifting’ existing patient and public involvement functions from Clinical Commissioning Groups</w:t>
      </w:r>
      <w:r w:rsidR="00103135">
        <w:rPr>
          <w:sz w:val="24"/>
          <w:szCs w:val="24"/>
        </w:rPr>
        <w:t xml:space="preserve"> and relying on local Healthwatch</w:t>
      </w:r>
      <w:r w:rsidR="00E04867">
        <w:rPr>
          <w:sz w:val="24"/>
          <w:szCs w:val="24"/>
        </w:rPr>
        <w:t>,</w:t>
      </w:r>
      <w:r w:rsidR="00103135">
        <w:rPr>
          <w:sz w:val="24"/>
          <w:szCs w:val="24"/>
        </w:rPr>
        <w:t xml:space="preserve"> as good as they </w:t>
      </w:r>
      <w:r w:rsidR="00E04867">
        <w:rPr>
          <w:sz w:val="24"/>
          <w:szCs w:val="24"/>
        </w:rPr>
        <w:t>may be</w:t>
      </w:r>
      <w:r>
        <w:rPr>
          <w:sz w:val="24"/>
          <w:szCs w:val="24"/>
        </w:rPr>
        <w:t>.</w:t>
      </w:r>
      <w:r w:rsidR="00140756">
        <w:rPr>
          <w:sz w:val="24"/>
          <w:szCs w:val="24"/>
        </w:rPr>
        <w:t xml:space="preserve"> </w:t>
      </w:r>
      <w:r>
        <w:rPr>
          <w:sz w:val="24"/>
          <w:szCs w:val="24"/>
        </w:rPr>
        <w:t xml:space="preserve">The bar </w:t>
      </w:r>
      <w:r w:rsidR="00E04867">
        <w:rPr>
          <w:sz w:val="24"/>
          <w:szCs w:val="24"/>
        </w:rPr>
        <w:t xml:space="preserve">should </w:t>
      </w:r>
      <w:r>
        <w:rPr>
          <w:sz w:val="24"/>
          <w:szCs w:val="24"/>
        </w:rPr>
        <w:t>be set much higher t</w:t>
      </w:r>
      <w:r w:rsidR="00140756">
        <w:rPr>
          <w:sz w:val="24"/>
          <w:szCs w:val="24"/>
        </w:rPr>
        <w:t>han this.</w:t>
      </w:r>
    </w:p>
    <w:p w:rsidR="00C00C53" w:rsidRDefault="00C00C53" w:rsidP="003C1BBA">
      <w:pPr>
        <w:spacing w:after="0" w:line="240" w:lineRule="auto"/>
        <w:rPr>
          <w:sz w:val="24"/>
          <w:szCs w:val="24"/>
        </w:rPr>
      </w:pPr>
    </w:p>
    <w:p w:rsidR="003C1BBA" w:rsidRPr="00660245" w:rsidRDefault="004227E7" w:rsidP="00034C2B">
      <w:pPr>
        <w:spacing w:after="0" w:line="240" w:lineRule="auto"/>
        <w:rPr>
          <w:sz w:val="24"/>
          <w:szCs w:val="24"/>
        </w:rPr>
      </w:pPr>
      <w:r>
        <w:rPr>
          <w:sz w:val="24"/>
          <w:szCs w:val="24"/>
        </w:rPr>
        <w:t xml:space="preserve">This </w:t>
      </w:r>
      <w:r w:rsidR="004A564F">
        <w:rPr>
          <w:sz w:val="24"/>
          <w:szCs w:val="24"/>
        </w:rPr>
        <w:t xml:space="preserve">will </w:t>
      </w:r>
      <w:r w:rsidR="00A91025">
        <w:rPr>
          <w:sz w:val="24"/>
          <w:szCs w:val="24"/>
        </w:rPr>
        <w:t xml:space="preserve">mean </w:t>
      </w:r>
      <w:r w:rsidR="00153C6A">
        <w:rPr>
          <w:sz w:val="24"/>
          <w:szCs w:val="24"/>
        </w:rPr>
        <w:t>invest</w:t>
      </w:r>
      <w:r w:rsidR="004A564F">
        <w:rPr>
          <w:sz w:val="24"/>
          <w:szCs w:val="24"/>
        </w:rPr>
        <w:t>ing</w:t>
      </w:r>
      <w:r w:rsidR="00103135">
        <w:rPr>
          <w:sz w:val="24"/>
          <w:szCs w:val="24"/>
        </w:rPr>
        <w:t xml:space="preserve"> </w:t>
      </w:r>
      <w:r w:rsidR="00153C6A">
        <w:rPr>
          <w:sz w:val="24"/>
          <w:szCs w:val="24"/>
        </w:rPr>
        <w:t xml:space="preserve">in infrastructure </w:t>
      </w:r>
      <w:r w:rsidR="004A564F">
        <w:rPr>
          <w:sz w:val="24"/>
          <w:szCs w:val="24"/>
        </w:rPr>
        <w:t xml:space="preserve">(both in cash and kind) </w:t>
      </w:r>
      <w:r w:rsidR="00A91025">
        <w:rPr>
          <w:sz w:val="24"/>
          <w:szCs w:val="24"/>
        </w:rPr>
        <w:t xml:space="preserve">to </w:t>
      </w:r>
      <w:r w:rsidR="00153C6A">
        <w:rPr>
          <w:sz w:val="24"/>
          <w:szCs w:val="24"/>
        </w:rPr>
        <w:t xml:space="preserve">cover the </w:t>
      </w:r>
      <w:r w:rsidR="00A509EF">
        <w:rPr>
          <w:sz w:val="24"/>
          <w:szCs w:val="24"/>
        </w:rPr>
        <w:t>full span</w:t>
      </w:r>
      <w:r>
        <w:rPr>
          <w:sz w:val="24"/>
          <w:szCs w:val="24"/>
        </w:rPr>
        <w:t xml:space="preserve"> (</w:t>
      </w:r>
      <w:r w:rsidR="00153C6A">
        <w:rPr>
          <w:sz w:val="24"/>
          <w:szCs w:val="24"/>
        </w:rPr>
        <w:t>within and across the different levels and layers</w:t>
      </w:r>
      <w:r>
        <w:rPr>
          <w:sz w:val="24"/>
          <w:szCs w:val="24"/>
        </w:rPr>
        <w:t>)</w:t>
      </w:r>
      <w:r w:rsidR="00153C6A">
        <w:rPr>
          <w:sz w:val="24"/>
          <w:szCs w:val="24"/>
        </w:rPr>
        <w:t xml:space="preserve"> from the </w:t>
      </w:r>
      <w:r w:rsidR="00103135">
        <w:rPr>
          <w:sz w:val="24"/>
          <w:szCs w:val="24"/>
        </w:rPr>
        <w:t xml:space="preserve">very local to the </w:t>
      </w:r>
      <w:r w:rsidR="00153C6A">
        <w:rPr>
          <w:sz w:val="24"/>
          <w:szCs w:val="24"/>
        </w:rPr>
        <w:t xml:space="preserve">big footprint of the ICS, building on </w:t>
      </w:r>
      <w:r w:rsidR="000919A4">
        <w:rPr>
          <w:sz w:val="24"/>
          <w:szCs w:val="24"/>
        </w:rPr>
        <w:t xml:space="preserve">existing arrangements that are </w:t>
      </w:r>
      <w:r w:rsidR="00103135">
        <w:rPr>
          <w:sz w:val="24"/>
          <w:szCs w:val="24"/>
        </w:rPr>
        <w:t xml:space="preserve">already </w:t>
      </w:r>
      <w:r w:rsidR="000919A4">
        <w:rPr>
          <w:sz w:val="24"/>
          <w:szCs w:val="24"/>
        </w:rPr>
        <w:t>prove</w:t>
      </w:r>
      <w:r w:rsidR="00103135">
        <w:rPr>
          <w:sz w:val="24"/>
          <w:szCs w:val="24"/>
        </w:rPr>
        <w:t>n to work.</w:t>
      </w:r>
      <w:r w:rsidR="00F53D68">
        <w:rPr>
          <w:sz w:val="24"/>
          <w:szCs w:val="24"/>
        </w:rPr>
        <w:t xml:space="preserve"> There </w:t>
      </w:r>
      <w:r>
        <w:rPr>
          <w:sz w:val="24"/>
          <w:szCs w:val="24"/>
        </w:rPr>
        <w:t xml:space="preserve">is a vital </w:t>
      </w:r>
      <w:r w:rsidR="004A564F">
        <w:rPr>
          <w:sz w:val="24"/>
          <w:szCs w:val="24"/>
        </w:rPr>
        <w:t xml:space="preserve">and enhanced </w:t>
      </w:r>
      <w:r>
        <w:rPr>
          <w:sz w:val="24"/>
          <w:szCs w:val="24"/>
        </w:rPr>
        <w:t xml:space="preserve">role for </w:t>
      </w:r>
      <w:r w:rsidR="00001F6A">
        <w:rPr>
          <w:sz w:val="24"/>
          <w:szCs w:val="24"/>
        </w:rPr>
        <w:t>U</w:t>
      </w:r>
      <w:r w:rsidR="00F53D68">
        <w:rPr>
          <w:sz w:val="24"/>
          <w:szCs w:val="24"/>
        </w:rPr>
        <w:t xml:space="preserve">ser </w:t>
      </w:r>
      <w:r w:rsidR="00001F6A">
        <w:rPr>
          <w:sz w:val="24"/>
          <w:szCs w:val="24"/>
        </w:rPr>
        <w:t>L</w:t>
      </w:r>
      <w:r w:rsidR="00F53D68">
        <w:rPr>
          <w:sz w:val="24"/>
          <w:szCs w:val="24"/>
        </w:rPr>
        <w:t xml:space="preserve">ed </w:t>
      </w:r>
      <w:r w:rsidR="00001F6A">
        <w:rPr>
          <w:sz w:val="24"/>
          <w:szCs w:val="24"/>
        </w:rPr>
        <w:t>O</w:t>
      </w:r>
      <w:r w:rsidR="00F53D68">
        <w:rPr>
          <w:sz w:val="24"/>
          <w:szCs w:val="24"/>
        </w:rPr>
        <w:t xml:space="preserve">rganisations and </w:t>
      </w:r>
      <w:r>
        <w:rPr>
          <w:sz w:val="24"/>
          <w:szCs w:val="24"/>
        </w:rPr>
        <w:t xml:space="preserve">the </w:t>
      </w:r>
      <w:r w:rsidR="00F53D68">
        <w:rPr>
          <w:sz w:val="24"/>
          <w:szCs w:val="24"/>
        </w:rPr>
        <w:t xml:space="preserve">voluntary, community, social enterprise </w:t>
      </w:r>
      <w:r>
        <w:rPr>
          <w:sz w:val="24"/>
          <w:szCs w:val="24"/>
        </w:rPr>
        <w:t xml:space="preserve">sector in enabling the </w:t>
      </w:r>
      <w:r w:rsidR="00F53D68">
        <w:rPr>
          <w:sz w:val="24"/>
          <w:szCs w:val="24"/>
        </w:rPr>
        <w:t xml:space="preserve">voice </w:t>
      </w:r>
      <w:r>
        <w:rPr>
          <w:sz w:val="24"/>
          <w:szCs w:val="24"/>
        </w:rPr>
        <w:t xml:space="preserve">of </w:t>
      </w:r>
      <w:r w:rsidR="00F53D68">
        <w:rPr>
          <w:sz w:val="24"/>
          <w:szCs w:val="24"/>
        </w:rPr>
        <w:t>the people they work with and fo</w:t>
      </w:r>
      <w:r w:rsidR="00BE0528">
        <w:rPr>
          <w:sz w:val="24"/>
          <w:szCs w:val="24"/>
        </w:rPr>
        <w:t>r</w:t>
      </w:r>
      <w:r>
        <w:rPr>
          <w:sz w:val="24"/>
          <w:szCs w:val="24"/>
        </w:rPr>
        <w:t xml:space="preserve"> to be heard. </w:t>
      </w:r>
      <w:r w:rsidR="00C624EC">
        <w:rPr>
          <w:sz w:val="24"/>
          <w:szCs w:val="24"/>
        </w:rPr>
        <w:t xml:space="preserve">This </w:t>
      </w:r>
      <w:r w:rsidR="00A91025">
        <w:rPr>
          <w:sz w:val="24"/>
          <w:szCs w:val="24"/>
        </w:rPr>
        <w:t xml:space="preserve">should </w:t>
      </w:r>
      <w:r w:rsidR="004A564F">
        <w:rPr>
          <w:sz w:val="24"/>
          <w:szCs w:val="24"/>
        </w:rPr>
        <w:t>link</w:t>
      </w:r>
      <w:r w:rsidR="00A91025">
        <w:rPr>
          <w:sz w:val="24"/>
          <w:szCs w:val="24"/>
        </w:rPr>
        <w:t xml:space="preserve"> with</w:t>
      </w:r>
      <w:r w:rsidR="004A564F">
        <w:rPr>
          <w:sz w:val="24"/>
          <w:szCs w:val="24"/>
        </w:rPr>
        <w:t xml:space="preserve"> </w:t>
      </w:r>
      <w:r w:rsidR="00A91025">
        <w:rPr>
          <w:sz w:val="24"/>
          <w:szCs w:val="24"/>
        </w:rPr>
        <w:t xml:space="preserve">the </w:t>
      </w:r>
      <w:r w:rsidR="007508E2">
        <w:rPr>
          <w:sz w:val="24"/>
          <w:szCs w:val="24"/>
        </w:rPr>
        <w:t>develop</w:t>
      </w:r>
      <w:r w:rsidR="00A91025">
        <w:rPr>
          <w:sz w:val="24"/>
          <w:szCs w:val="24"/>
        </w:rPr>
        <w:t>ment</w:t>
      </w:r>
      <w:r w:rsidR="004A564F">
        <w:rPr>
          <w:sz w:val="24"/>
          <w:szCs w:val="24"/>
        </w:rPr>
        <w:t xml:space="preserve">, testing </w:t>
      </w:r>
      <w:r w:rsidR="007508E2">
        <w:rPr>
          <w:sz w:val="24"/>
          <w:szCs w:val="24"/>
        </w:rPr>
        <w:t>and</w:t>
      </w:r>
      <w:r w:rsidR="00C624EC">
        <w:rPr>
          <w:sz w:val="24"/>
          <w:szCs w:val="24"/>
        </w:rPr>
        <w:t xml:space="preserve"> spread</w:t>
      </w:r>
      <w:r w:rsidR="00A91025">
        <w:rPr>
          <w:sz w:val="24"/>
          <w:szCs w:val="24"/>
        </w:rPr>
        <w:t xml:space="preserve"> of </w:t>
      </w:r>
      <w:r w:rsidR="004A564F">
        <w:rPr>
          <w:sz w:val="24"/>
          <w:szCs w:val="24"/>
        </w:rPr>
        <w:t>both established and innovative ways of engaging and</w:t>
      </w:r>
      <w:r w:rsidR="00C624EC">
        <w:rPr>
          <w:sz w:val="24"/>
          <w:szCs w:val="24"/>
        </w:rPr>
        <w:t xml:space="preserve"> involving citizens</w:t>
      </w:r>
      <w:r w:rsidR="00C624EC" w:rsidRPr="00660245">
        <w:rPr>
          <w:sz w:val="24"/>
          <w:szCs w:val="24"/>
        </w:rPr>
        <w:t xml:space="preserve">. </w:t>
      </w:r>
      <w:r w:rsidR="006B162E" w:rsidRPr="00660245">
        <w:rPr>
          <w:sz w:val="24"/>
          <w:szCs w:val="24"/>
        </w:rPr>
        <w:t xml:space="preserve"> </w:t>
      </w:r>
      <w:r w:rsidR="00E5177C" w:rsidRPr="00660245">
        <w:rPr>
          <w:sz w:val="24"/>
          <w:szCs w:val="24"/>
        </w:rPr>
        <w:t>T</w:t>
      </w:r>
      <w:r w:rsidR="006B162E" w:rsidRPr="00660245">
        <w:rPr>
          <w:sz w:val="24"/>
          <w:szCs w:val="24"/>
        </w:rPr>
        <w:t xml:space="preserve">o ensure that citizen representatives are able to participate as equals conscious thought will need to </w:t>
      </w:r>
      <w:r w:rsidR="00D25F91" w:rsidRPr="00660245">
        <w:rPr>
          <w:sz w:val="24"/>
          <w:szCs w:val="24"/>
        </w:rPr>
        <w:t xml:space="preserve">be </w:t>
      </w:r>
      <w:r w:rsidR="006B162E" w:rsidRPr="00660245">
        <w:rPr>
          <w:sz w:val="24"/>
          <w:szCs w:val="24"/>
        </w:rPr>
        <w:t xml:space="preserve">paid to ‘induction’ and ongoing support. If we want to encourage and engage participation from currently under-represented groups and communities, then this support will matter. </w:t>
      </w:r>
    </w:p>
    <w:p w:rsidR="007508E2" w:rsidRPr="00660245" w:rsidRDefault="007508E2" w:rsidP="00034C2B">
      <w:pPr>
        <w:spacing w:after="0" w:line="240" w:lineRule="auto"/>
        <w:rPr>
          <w:i/>
          <w:sz w:val="24"/>
          <w:szCs w:val="24"/>
        </w:rPr>
      </w:pPr>
    </w:p>
    <w:p w:rsidR="00A3080E" w:rsidRDefault="00A3080E" w:rsidP="00034C2B">
      <w:pPr>
        <w:spacing w:after="0" w:line="240" w:lineRule="auto"/>
        <w:rPr>
          <w:b/>
          <w:sz w:val="24"/>
          <w:szCs w:val="24"/>
        </w:rPr>
      </w:pPr>
      <w:r>
        <w:rPr>
          <w:b/>
          <w:sz w:val="24"/>
          <w:szCs w:val="24"/>
        </w:rPr>
        <w:t>Behaviour</w:t>
      </w:r>
      <w:r w:rsidR="00BE0528">
        <w:rPr>
          <w:b/>
          <w:sz w:val="24"/>
          <w:szCs w:val="24"/>
        </w:rPr>
        <w:t>s</w:t>
      </w:r>
      <w:r>
        <w:rPr>
          <w:b/>
          <w:sz w:val="24"/>
          <w:szCs w:val="24"/>
        </w:rPr>
        <w:t xml:space="preserve"> </w:t>
      </w:r>
      <w:r w:rsidR="004A564F">
        <w:rPr>
          <w:b/>
          <w:sz w:val="24"/>
          <w:szCs w:val="24"/>
        </w:rPr>
        <w:t xml:space="preserve">that </w:t>
      </w:r>
      <w:r w:rsidR="00F54818">
        <w:rPr>
          <w:b/>
          <w:sz w:val="24"/>
          <w:szCs w:val="24"/>
        </w:rPr>
        <w:t xml:space="preserve">make for good </w:t>
      </w:r>
      <w:r w:rsidR="004A564F">
        <w:rPr>
          <w:b/>
          <w:sz w:val="24"/>
          <w:szCs w:val="24"/>
        </w:rPr>
        <w:t>change</w:t>
      </w:r>
    </w:p>
    <w:p w:rsidR="00A3080E" w:rsidRDefault="00A3080E" w:rsidP="00034C2B">
      <w:pPr>
        <w:spacing w:after="0" w:line="240" w:lineRule="auto"/>
        <w:rPr>
          <w:b/>
          <w:sz w:val="24"/>
          <w:szCs w:val="24"/>
        </w:rPr>
      </w:pPr>
    </w:p>
    <w:p w:rsidR="00A3080E" w:rsidRDefault="004A564F" w:rsidP="00034C2B">
      <w:pPr>
        <w:spacing w:after="0" w:line="240" w:lineRule="auto"/>
        <w:rPr>
          <w:sz w:val="24"/>
          <w:szCs w:val="24"/>
        </w:rPr>
      </w:pPr>
      <w:r>
        <w:rPr>
          <w:sz w:val="24"/>
          <w:szCs w:val="24"/>
        </w:rPr>
        <w:t>As the White Paper makes clear the pandemic triggered in many places</w:t>
      </w:r>
      <w:r w:rsidR="00A91025">
        <w:rPr>
          <w:sz w:val="24"/>
          <w:szCs w:val="24"/>
        </w:rPr>
        <w:t xml:space="preserve"> a </w:t>
      </w:r>
      <w:r>
        <w:rPr>
          <w:sz w:val="24"/>
          <w:szCs w:val="24"/>
        </w:rPr>
        <w:t xml:space="preserve">collective and collaborative response in </w:t>
      </w:r>
      <w:r w:rsidR="00F54818">
        <w:rPr>
          <w:sz w:val="24"/>
          <w:szCs w:val="24"/>
        </w:rPr>
        <w:t>a</w:t>
      </w:r>
      <w:r>
        <w:rPr>
          <w:sz w:val="24"/>
          <w:szCs w:val="24"/>
        </w:rPr>
        <w:t xml:space="preserve"> common cause</w:t>
      </w:r>
      <w:r w:rsidR="00F54818">
        <w:rPr>
          <w:sz w:val="24"/>
          <w:szCs w:val="24"/>
        </w:rPr>
        <w:t>. We need to retain and build on this. Whilst it is not possible to mandate or p</w:t>
      </w:r>
      <w:r w:rsidR="00A3080E">
        <w:rPr>
          <w:sz w:val="24"/>
          <w:szCs w:val="24"/>
        </w:rPr>
        <w:t xml:space="preserve">rescribe </w:t>
      </w:r>
      <w:r w:rsidR="00F54818">
        <w:rPr>
          <w:sz w:val="24"/>
          <w:szCs w:val="24"/>
        </w:rPr>
        <w:t xml:space="preserve">collaborative </w:t>
      </w:r>
      <w:r w:rsidR="00A3080E">
        <w:rPr>
          <w:sz w:val="24"/>
          <w:szCs w:val="24"/>
        </w:rPr>
        <w:t>relationships or behaviours, when framing the legislation and guidance</w:t>
      </w:r>
      <w:r w:rsidR="00F54818">
        <w:rPr>
          <w:sz w:val="24"/>
          <w:szCs w:val="24"/>
        </w:rPr>
        <w:t>,</w:t>
      </w:r>
      <w:r w:rsidR="00A3080E">
        <w:rPr>
          <w:sz w:val="24"/>
          <w:szCs w:val="24"/>
        </w:rPr>
        <w:t xml:space="preserve"> </w:t>
      </w:r>
      <w:r w:rsidR="00BE0528">
        <w:rPr>
          <w:sz w:val="24"/>
          <w:szCs w:val="24"/>
        </w:rPr>
        <w:t xml:space="preserve">care should be taken </w:t>
      </w:r>
      <w:r w:rsidR="00A3080E">
        <w:rPr>
          <w:sz w:val="24"/>
          <w:szCs w:val="24"/>
        </w:rPr>
        <w:t xml:space="preserve">to maximise incentives and levers that encourage </w:t>
      </w:r>
      <w:r w:rsidR="00A91025">
        <w:rPr>
          <w:sz w:val="24"/>
          <w:szCs w:val="24"/>
        </w:rPr>
        <w:t xml:space="preserve">‘good behaviour’ </w:t>
      </w:r>
      <w:r w:rsidR="00BE0528">
        <w:rPr>
          <w:sz w:val="24"/>
          <w:szCs w:val="24"/>
        </w:rPr>
        <w:t>and avoid creating perverse incentives.</w:t>
      </w:r>
    </w:p>
    <w:p w:rsidR="00A3080E" w:rsidRDefault="00A3080E" w:rsidP="00034C2B">
      <w:pPr>
        <w:spacing w:after="0" w:line="240" w:lineRule="auto"/>
        <w:rPr>
          <w:sz w:val="24"/>
          <w:szCs w:val="24"/>
        </w:rPr>
      </w:pPr>
    </w:p>
    <w:p w:rsidR="009354A2" w:rsidRDefault="009354A2" w:rsidP="00034C2B">
      <w:pPr>
        <w:spacing w:after="0" w:line="240" w:lineRule="auto"/>
        <w:rPr>
          <w:b/>
          <w:sz w:val="24"/>
          <w:szCs w:val="24"/>
        </w:rPr>
      </w:pPr>
    </w:p>
    <w:p w:rsidR="009354A2" w:rsidRDefault="009354A2" w:rsidP="00034C2B">
      <w:pPr>
        <w:spacing w:after="0" w:line="240" w:lineRule="auto"/>
        <w:rPr>
          <w:b/>
          <w:sz w:val="24"/>
          <w:szCs w:val="24"/>
        </w:rPr>
      </w:pPr>
    </w:p>
    <w:p w:rsidR="00E04867" w:rsidRDefault="00E04867" w:rsidP="00034C2B">
      <w:pPr>
        <w:spacing w:after="0" w:line="240" w:lineRule="auto"/>
        <w:rPr>
          <w:b/>
          <w:sz w:val="24"/>
          <w:szCs w:val="24"/>
        </w:rPr>
      </w:pPr>
      <w:r>
        <w:rPr>
          <w:b/>
          <w:sz w:val="24"/>
          <w:szCs w:val="24"/>
        </w:rPr>
        <w:lastRenderedPageBreak/>
        <w:t>A w</w:t>
      </w:r>
      <w:r w:rsidRPr="00E04867">
        <w:rPr>
          <w:b/>
          <w:sz w:val="24"/>
          <w:szCs w:val="24"/>
        </w:rPr>
        <w:t xml:space="preserve">ide definition of wide </w:t>
      </w:r>
    </w:p>
    <w:p w:rsidR="00A3080E" w:rsidRDefault="00A3080E" w:rsidP="00034C2B">
      <w:pPr>
        <w:spacing w:after="0" w:line="240" w:lineRule="auto"/>
        <w:rPr>
          <w:sz w:val="24"/>
          <w:szCs w:val="24"/>
        </w:rPr>
      </w:pPr>
    </w:p>
    <w:p w:rsidR="00E04867" w:rsidRDefault="00E04867" w:rsidP="00034C2B">
      <w:pPr>
        <w:spacing w:after="0" w:line="240" w:lineRule="auto"/>
        <w:rPr>
          <w:sz w:val="24"/>
          <w:szCs w:val="24"/>
        </w:rPr>
      </w:pPr>
      <w:r>
        <w:rPr>
          <w:sz w:val="24"/>
          <w:szCs w:val="24"/>
        </w:rPr>
        <w:t>We u</w:t>
      </w:r>
      <w:r w:rsidR="003C1BBA">
        <w:rPr>
          <w:sz w:val="24"/>
          <w:szCs w:val="24"/>
        </w:rPr>
        <w:t xml:space="preserve">nderstand the </w:t>
      </w:r>
      <w:r>
        <w:rPr>
          <w:sz w:val="24"/>
          <w:szCs w:val="24"/>
        </w:rPr>
        <w:t xml:space="preserve">use </w:t>
      </w:r>
      <w:r w:rsidR="00F54818">
        <w:rPr>
          <w:sz w:val="24"/>
          <w:szCs w:val="24"/>
        </w:rPr>
        <w:t xml:space="preserve">made </w:t>
      </w:r>
      <w:r w:rsidR="00A3080E">
        <w:rPr>
          <w:sz w:val="24"/>
          <w:szCs w:val="24"/>
        </w:rPr>
        <w:t xml:space="preserve">in the White Paper </w:t>
      </w:r>
      <w:r>
        <w:rPr>
          <w:sz w:val="24"/>
          <w:szCs w:val="24"/>
        </w:rPr>
        <w:t xml:space="preserve">of the </w:t>
      </w:r>
      <w:r w:rsidR="003C1BBA">
        <w:rPr>
          <w:sz w:val="24"/>
          <w:szCs w:val="24"/>
        </w:rPr>
        <w:t xml:space="preserve">shorthand </w:t>
      </w:r>
      <w:r w:rsidR="00A3080E">
        <w:rPr>
          <w:sz w:val="24"/>
          <w:szCs w:val="24"/>
        </w:rPr>
        <w:t xml:space="preserve">term </w:t>
      </w:r>
      <w:r w:rsidR="003C1BBA">
        <w:rPr>
          <w:sz w:val="24"/>
          <w:szCs w:val="24"/>
        </w:rPr>
        <w:t>‘wider delivery partners’</w:t>
      </w:r>
      <w:r w:rsidR="00F54818">
        <w:rPr>
          <w:sz w:val="24"/>
          <w:szCs w:val="24"/>
        </w:rPr>
        <w:t>. However,</w:t>
      </w:r>
      <w:r>
        <w:rPr>
          <w:sz w:val="24"/>
          <w:szCs w:val="24"/>
        </w:rPr>
        <w:t xml:space="preserve"> the guidance should make it clear that th</w:t>
      </w:r>
      <w:r w:rsidR="00F54818">
        <w:rPr>
          <w:sz w:val="24"/>
          <w:szCs w:val="24"/>
        </w:rPr>
        <w:t xml:space="preserve">e term </w:t>
      </w:r>
      <w:r>
        <w:rPr>
          <w:sz w:val="24"/>
          <w:szCs w:val="24"/>
        </w:rPr>
        <w:t xml:space="preserve">should be broadly </w:t>
      </w:r>
      <w:r w:rsidR="003A1C04">
        <w:rPr>
          <w:sz w:val="24"/>
          <w:szCs w:val="24"/>
        </w:rPr>
        <w:t xml:space="preserve">defined and </w:t>
      </w:r>
      <w:r w:rsidR="00A91025">
        <w:rPr>
          <w:sz w:val="24"/>
          <w:szCs w:val="24"/>
        </w:rPr>
        <w:t xml:space="preserve">applied </w:t>
      </w:r>
      <w:r w:rsidR="00F54818">
        <w:rPr>
          <w:sz w:val="24"/>
          <w:szCs w:val="24"/>
        </w:rPr>
        <w:t>in practice</w:t>
      </w:r>
      <w:r>
        <w:rPr>
          <w:sz w:val="24"/>
          <w:szCs w:val="24"/>
        </w:rPr>
        <w:t xml:space="preserve">, to </w:t>
      </w:r>
      <w:r w:rsidR="00F54818">
        <w:rPr>
          <w:sz w:val="24"/>
          <w:szCs w:val="24"/>
        </w:rPr>
        <w:t>include t</w:t>
      </w:r>
      <w:r>
        <w:rPr>
          <w:sz w:val="24"/>
          <w:szCs w:val="24"/>
        </w:rPr>
        <w:t xml:space="preserve">he </w:t>
      </w:r>
      <w:r w:rsidR="00F54818">
        <w:rPr>
          <w:sz w:val="24"/>
          <w:szCs w:val="24"/>
        </w:rPr>
        <w:t xml:space="preserve">rich mix of resources </w:t>
      </w:r>
      <w:r>
        <w:rPr>
          <w:sz w:val="24"/>
          <w:szCs w:val="24"/>
        </w:rPr>
        <w:t>and assets in a place</w:t>
      </w:r>
      <w:r w:rsidR="000977F6">
        <w:rPr>
          <w:sz w:val="24"/>
          <w:szCs w:val="24"/>
        </w:rPr>
        <w:t>,</w:t>
      </w:r>
      <w:r>
        <w:rPr>
          <w:sz w:val="24"/>
          <w:szCs w:val="24"/>
        </w:rPr>
        <w:t xml:space="preserve"> rather than a n</w:t>
      </w:r>
      <w:r w:rsidR="003C1BBA">
        <w:rPr>
          <w:sz w:val="24"/>
          <w:szCs w:val="24"/>
        </w:rPr>
        <w:t xml:space="preserve">arrow view </w:t>
      </w:r>
      <w:r>
        <w:rPr>
          <w:sz w:val="24"/>
          <w:szCs w:val="24"/>
        </w:rPr>
        <w:t xml:space="preserve">limited to </w:t>
      </w:r>
      <w:r w:rsidR="003C1BBA">
        <w:rPr>
          <w:sz w:val="24"/>
          <w:szCs w:val="24"/>
        </w:rPr>
        <w:t xml:space="preserve">contracted </w:t>
      </w:r>
      <w:r>
        <w:rPr>
          <w:sz w:val="24"/>
          <w:szCs w:val="24"/>
        </w:rPr>
        <w:t xml:space="preserve">organisations of care and health. This </w:t>
      </w:r>
      <w:r w:rsidR="00A3080E">
        <w:rPr>
          <w:sz w:val="24"/>
          <w:szCs w:val="24"/>
        </w:rPr>
        <w:t>will</w:t>
      </w:r>
      <w:r>
        <w:rPr>
          <w:sz w:val="24"/>
          <w:szCs w:val="24"/>
        </w:rPr>
        <w:t xml:space="preserve"> help create the space and environment for innovative </w:t>
      </w:r>
      <w:r w:rsidR="00A3080E">
        <w:rPr>
          <w:sz w:val="24"/>
          <w:szCs w:val="24"/>
        </w:rPr>
        <w:t xml:space="preserve">asset-based </w:t>
      </w:r>
      <w:r>
        <w:rPr>
          <w:sz w:val="24"/>
          <w:szCs w:val="24"/>
        </w:rPr>
        <w:t xml:space="preserve">approaches </w:t>
      </w:r>
      <w:r w:rsidR="00F54818">
        <w:rPr>
          <w:sz w:val="24"/>
          <w:szCs w:val="24"/>
        </w:rPr>
        <w:t xml:space="preserve">for </w:t>
      </w:r>
      <w:r w:rsidR="000977F6">
        <w:rPr>
          <w:sz w:val="24"/>
          <w:szCs w:val="24"/>
        </w:rPr>
        <w:t xml:space="preserve">improving health and wellbeing to </w:t>
      </w:r>
      <w:r>
        <w:rPr>
          <w:sz w:val="24"/>
          <w:szCs w:val="24"/>
        </w:rPr>
        <w:t xml:space="preserve">take </w:t>
      </w:r>
      <w:r w:rsidR="000977F6">
        <w:rPr>
          <w:sz w:val="24"/>
          <w:szCs w:val="24"/>
        </w:rPr>
        <w:t xml:space="preserve">firmer </w:t>
      </w:r>
      <w:r>
        <w:rPr>
          <w:sz w:val="24"/>
          <w:szCs w:val="24"/>
        </w:rPr>
        <w:t>hold and flourish.</w:t>
      </w:r>
      <w:r w:rsidR="00BA11F5">
        <w:rPr>
          <w:sz w:val="24"/>
          <w:szCs w:val="24"/>
        </w:rPr>
        <w:t xml:space="preserve"> Rules and behaviours around collaboration and competition will therefore need to be sensitively applied. </w:t>
      </w:r>
      <w:r>
        <w:rPr>
          <w:sz w:val="24"/>
          <w:szCs w:val="24"/>
        </w:rPr>
        <w:t xml:space="preserve"> </w:t>
      </w:r>
      <w:r w:rsidR="00D33D17">
        <w:rPr>
          <w:sz w:val="24"/>
          <w:szCs w:val="24"/>
        </w:rPr>
        <w:t>The direction of travel should be towards citizen led</w:t>
      </w:r>
      <w:r w:rsidR="005B5CEF">
        <w:rPr>
          <w:sz w:val="24"/>
          <w:szCs w:val="24"/>
        </w:rPr>
        <w:t xml:space="preserve"> collaborative approaches to commissioning that enables personalised support and builds community connection. </w:t>
      </w:r>
      <w:r>
        <w:rPr>
          <w:sz w:val="24"/>
          <w:szCs w:val="24"/>
        </w:rPr>
        <w:t>On a particular point, the important role played by housing in terms of people’s health and wellbeing should be afforded high status.</w:t>
      </w:r>
    </w:p>
    <w:p w:rsidR="00E04867" w:rsidRDefault="00E04867" w:rsidP="00034C2B">
      <w:pPr>
        <w:spacing w:after="0" w:line="240" w:lineRule="auto"/>
        <w:rPr>
          <w:sz w:val="24"/>
          <w:szCs w:val="24"/>
        </w:rPr>
      </w:pPr>
    </w:p>
    <w:p w:rsidR="00BE0528" w:rsidRPr="00AE63E8" w:rsidRDefault="00F54818" w:rsidP="00C00C53">
      <w:pPr>
        <w:spacing w:after="0" w:line="240" w:lineRule="auto"/>
        <w:rPr>
          <w:b/>
          <w:sz w:val="24"/>
          <w:szCs w:val="24"/>
        </w:rPr>
      </w:pPr>
      <w:r>
        <w:rPr>
          <w:b/>
          <w:sz w:val="24"/>
          <w:szCs w:val="24"/>
        </w:rPr>
        <w:t>A</w:t>
      </w:r>
      <w:r w:rsidR="00AE63E8" w:rsidRPr="00AE63E8">
        <w:rPr>
          <w:b/>
          <w:sz w:val="24"/>
          <w:szCs w:val="24"/>
        </w:rPr>
        <w:t xml:space="preserve">ssurance </w:t>
      </w:r>
      <w:r w:rsidR="00D7362F">
        <w:rPr>
          <w:b/>
          <w:sz w:val="24"/>
          <w:szCs w:val="24"/>
        </w:rPr>
        <w:t xml:space="preserve">with </w:t>
      </w:r>
      <w:r w:rsidR="00AE63E8" w:rsidRPr="00AE63E8">
        <w:rPr>
          <w:b/>
          <w:sz w:val="24"/>
          <w:szCs w:val="24"/>
        </w:rPr>
        <w:t xml:space="preserve">citizen’s at the centre </w:t>
      </w:r>
      <w:r w:rsidR="00BE0528" w:rsidRPr="00AE63E8">
        <w:rPr>
          <w:b/>
          <w:sz w:val="24"/>
          <w:szCs w:val="24"/>
        </w:rPr>
        <w:t xml:space="preserve"> </w:t>
      </w:r>
    </w:p>
    <w:p w:rsidR="00BE0528" w:rsidRDefault="00BE0528" w:rsidP="00C00C53">
      <w:pPr>
        <w:spacing w:after="0" w:line="240" w:lineRule="auto"/>
        <w:rPr>
          <w:sz w:val="24"/>
          <w:szCs w:val="24"/>
        </w:rPr>
      </w:pPr>
    </w:p>
    <w:p w:rsidR="00B17D99" w:rsidRDefault="00F54818" w:rsidP="00C00C53">
      <w:pPr>
        <w:spacing w:after="0" w:line="240" w:lineRule="auto"/>
        <w:rPr>
          <w:sz w:val="24"/>
          <w:szCs w:val="24"/>
        </w:rPr>
      </w:pPr>
      <w:r>
        <w:rPr>
          <w:sz w:val="24"/>
          <w:szCs w:val="24"/>
        </w:rPr>
        <w:t xml:space="preserve">We see the case for strengthening accountability for the </w:t>
      </w:r>
      <w:r w:rsidR="00E41BF0">
        <w:rPr>
          <w:sz w:val="24"/>
          <w:szCs w:val="24"/>
        </w:rPr>
        <w:t xml:space="preserve">provision of high quality </w:t>
      </w:r>
      <w:r>
        <w:rPr>
          <w:sz w:val="24"/>
          <w:szCs w:val="24"/>
        </w:rPr>
        <w:t>adult social c</w:t>
      </w:r>
      <w:r w:rsidR="006C13D3">
        <w:rPr>
          <w:sz w:val="24"/>
          <w:szCs w:val="24"/>
        </w:rPr>
        <w:t xml:space="preserve">are in line with the Care Act, but are wary of developing oversight of local authorities if this moves too far ahead of the overdue reform of social care. </w:t>
      </w:r>
      <w:r w:rsidR="00E41BF0">
        <w:rPr>
          <w:sz w:val="24"/>
          <w:szCs w:val="24"/>
        </w:rPr>
        <w:t xml:space="preserve"> Much of th</w:t>
      </w:r>
      <w:r w:rsidR="006C13D3">
        <w:rPr>
          <w:sz w:val="24"/>
          <w:szCs w:val="24"/>
        </w:rPr>
        <w:t>e</w:t>
      </w:r>
      <w:r w:rsidR="00E41BF0">
        <w:rPr>
          <w:sz w:val="24"/>
          <w:szCs w:val="24"/>
        </w:rPr>
        <w:t xml:space="preserve"> accountability should be to people who access social care and unpaid family carers. </w:t>
      </w:r>
      <w:r w:rsidR="006C13D3">
        <w:rPr>
          <w:sz w:val="24"/>
          <w:szCs w:val="24"/>
        </w:rPr>
        <w:t>T</w:t>
      </w:r>
      <w:r w:rsidR="00AE63E8">
        <w:rPr>
          <w:sz w:val="24"/>
          <w:szCs w:val="24"/>
        </w:rPr>
        <w:t xml:space="preserve">he </w:t>
      </w:r>
      <w:r w:rsidR="006C13D3">
        <w:rPr>
          <w:sz w:val="24"/>
          <w:szCs w:val="24"/>
        </w:rPr>
        <w:t xml:space="preserve">assurance framework </w:t>
      </w:r>
      <w:r w:rsidR="00A91025">
        <w:rPr>
          <w:sz w:val="24"/>
          <w:szCs w:val="24"/>
        </w:rPr>
        <w:t xml:space="preserve">should </w:t>
      </w:r>
      <w:r w:rsidR="00863C81">
        <w:rPr>
          <w:sz w:val="24"/>
          <w:szCs w:val="24"/>
        </w:rPr>
        <w:t>be designed with citizens at the centre and co-produced</w:t>
      </w:r>
      <w:r w:rsidR="00A91025">
        <w:rPr>
          <w:sz w:val="24"/>
          <w:szCs w:val="24"/>
        </w:rPr>
        <w:t xml:space="preserve">. As a national partnership that brings together system leaders, commissioners, providers and people with lived experience, TLAP </w:t>
      </w:r>
      <w:r w:rsidR="003A1C04">
        <w:rPr>
          <w:sz w:val="24"/>
          <w:szCs w:val="24"/>
        </w:rPr>
        <w:t xml:space="preserve">is in a good position to </w:t>
      </w:r>
      <w:r w:rsidR="006C13D3">
        <w:rPr>
          <w:sz w:val="24"/>
          <w:szCs w:val="24"/>
        </w:rPr>
        <w:t>help with this.</w:t>
      </w:r>
    </w:p>
    <w:p w:rsidR="00A91025" w:rsidRDefault="00A91025" w:rsidP="00C00C53">
      <w:pPr>
        <w:spacing w:after="0" w:line="240" w:lineRule="auto"/>
        <w:rPr>
          <w:sz w:val="24"/>
          <w:szCs w:val="24"/>
        </w:rPr>
      </w:pPr>
    </w:p>
    <w:p w:rsidR="00D7362F" w:rsidRDefault="00D7362F" w:rsidP="00D7362F">
      <w:pPr>
        <w:spacing w:after="0" w:line="240" w:lineRule="auto"/>
        <w:rPr>
          <w:b/>
          <w:sz w:val="24"/>
          <w:szCs w:val="24"/>
        </w:rPr>
      </w:pPr>
      <w:r w:rsidRPr="000977F6">
        <w:rPr>
          <w:b/>
          <w:sz w:val="24"/>
          <w:szCs w:val="24"/>
        </w:rPr>
        <w:t>Human indicators that count</w:t>
      </w:r>
    </w:p>
    <w:p w:rsidR="00D7362F" w:rsidRDefault="00D7362F" w:rsidP="00D7362F">
      <w:pPr>
        <w:spacing w:after="0" w:line="240" w:lineRule="auto"/>
        <w:rPr>
          <w:sz w:val="24"/>
          <w:szCs w:val="24"/>
        </w:rPr>
      </w:pPr>
    </w:p>
    <w:p w:rsidR="00D7362F" w:rsidRDefault="00D7362F" w:rsidP="00D7362F">
      <w:pPr>
        <w:spacing w:after="0" w:line="240" w:lineRule="auto"/>
        <w:rPr>
          <w:sz w:val="24"/>
          <w:szCs w:val="24"/>
        </w:rPr>
      </w:pPr>
      <w:r>
        <w:rPr>
          <w:sz w:val="24"/>
          <w:szCs w:val="24"/>
        </w:rPr>
        <w:t xml:space="preserve">We support improving the data that is </w:t>
      </w:r>
      <w:r w:rsidR="006C13D3">
        <w:rPr>
          <w:sz w:val="24"/>
          <w:szCs w:val="24"/>
        </w:rPr>
        <w:t xml:space="preserve">available to be </w:t>
      </w:r>
      <w:r>
        <w:rPr>
          <w:sz w:val="24"/>
          <w:szCs w:val="24"/>
        </w:rPr>
        <w:t xml:space="preserve">used to build a picture of the progress made to improving health and wellbeing. </w:t>
      </w:r>
      <w:r w:rsidR="006C13D3">
        <w:rPr>
          <w:sz w:val="24"/>
          <w:szCs w:val="24"/>
        </w:rPr>
        <w:t xml:space="preserve">Care should be taken to avoid a disproportionate focus on finance and activity and the risk of creating data sets and flows that </w:t>
      </w:r>
      <w:r w:rsidR="003A1C04">
        <w:rPr>
          <w:sz w:val="24"/>
          <w:szCs w:val="24"/>
        </w:rPr>
        <w:t xml:space="preserve">have the </w:t>
      </w:r>
      <w:r w:rsidR="006C13D3">
        <w:rPr>
          <w:sz w:val="24"/>
          <w:szCs w:val="24"/>
        </w:rPr>
        <w:t xml:space="preserve">effect </w:t>
      </w:r>
      <w:r w:rsidR="003A1C04">
        <w:rPr>
          <w:sz w:val="24"/>
          <w:szCs w:val="24"/>
        </w:rPr>
        <w:t xml:space="preserve">of </w:t>
      </w:r>
      <w:r w:rsidR="006C13D3">
        <w:rPr>
          <w:sz w:val="24"/>
          <w:szCs w:val="24"/>
        </w:rPr>
        <w:t>reinforc</w:t>
      </w:r>
      <w:r w:rsidR="003A1C04">
        <w:rPr>
          <w:sz w:val="24"/>
          <w:szCs w:val="24"/>
        </w:rPr>
        <w:t>ing</w:t>
      </w:r>
      <w:r w:rsidR="006C13D3">
        <w:rPr>
          <w:sz w:val="24"/>
          <w:szCs w:val="24"/>
        </w:rPr>
        <w:t xml:space="preserve"> existing patterns of provision, when we know that so much of what is needed is transformation. </w:t>
      </w:r>
      <w:r w:rsidR="00D33D17">
        <w:rPr>
          <w:sz w:val="24"/>
          <w:szCs w:val="24"/>
        </w:rPr>
        <w:t xml:space="preserve">Any minimum data set should contain </w:t>
      </w:r>
      <w:r>
        <w:rPr>
          <w:sz w:val="24"/>
          <w:szCs w:val="24"/>
        </w:rPr>
        <w:t xml:space="preserve">measures that tell us about the experience, outcomes and impact on people. We think that </w:t>
      </w:r>
      <w:r w:rsidRPr="00E316ED">
        <w:rPr>
          <w:i/>
          <w:sz w:val="24"/>
          <w:szCs w:val="24"/>
        </w:rPr>
        <w:t>Making it Real</w:t>
      </w:r>
      <w:r>
        <w:rPr>
          <w:i/>
          <w:sz w:val="24"/>
          <w:szCs w:val="24"/>
        </w:rPr>
        <w:t xml:space="preserve"> </w:t>
      </w:r>
      <w:r w:rsidRPr="00E316ED">
        <w:rPr>
          <w:sz w:val="24"/>
          <w:szCs w:val="24"/>
        </w:rPr>
        <w:t>c</w:t>
      </w:r>
      <w:r w:rsidR="006C13D3">
        <w:rPr>
          <w:sz w:val="24"/>
          <w:szCs w:val="24"/>
        </w:rPr>
        <w:t xml:space="preserve">an </w:t>
      </w:r>
      <w:r>
        <w:rPr>
          <w:sz w:val="24"/>
          <w:szCs w:val="24"/>
        </w:rPr>
        <w:t xml:space="preserve">play a valuable role in this regard, especially as it </w:t>
      </w:r>
      <w:r w:rsidR="006C13D3">
        <w:rPr>
          <w:sz w:val="24"/>
          <w:szCs w:val="24"/>
        </w:rPr>
        <w:t xml:space="preserve">is </w:t>
      </w:r>
      <w:r>
        <w:rPr>
          <w:sz w:val="24"/>
          <w:szCs w:val="24"/>
        </w:rPr>
        <w:t>designed to run across</w:t>
      </w:r>
      <w:r w:rsidR="006C13D3">
        <w:rPr>
          <w:sz w:val="24"/>
          <w:szCs w:val="24"/>
        </w:rPr>
        <w:t xml:space="preserve"> health and social care.</w:t>
      </w:r>
    </w:p>
    <w:p w:rsidR="00D7362F" w:rsidRDefault="00D7362F" w:rsidP="00C00C53">
      <w:pPr>
        <w:spacing w:after="0" w:line="240" w:lineRule="auto"/>
        <w:rPr>
          <w:sz w:val="24"/>
          <w:szCs w:val="24"/>
        </w:rPr>
      </w:pPr>
    </w:p>
    <w:p w:rsidR="00001A3F" w:rsidRDefault="00001A3F" w:rsidP="00C00C53">
      <w:pPr>
        <w:spacing w:after="0" w:line="240" w:lineRule="auto"/>
        <w:rPr>
          <w:b/>
          <w:sz w:val="24"/>
          <w:szCs w:val="24"/>
        </w:rPr>
      </w:pPr>
      <w:r>
        <w:rPr>
          <w:b/>
          <w:sz w:val="24"/>
          <w:szCs w:val="24"/>
        </w:rPr>
        <w:t xml:space="preserve">Discharge to </w:t>
      </w:r>
      <w:r w:rsidR="00D33D17">
        <w:rPr>
          <w:b/>
          <w:sz w:val="24"/>
          <w:szCs w:val="24"/>
        </w:rPr>
        <w:t>a</w:t>
      </w:r>
      <w:r>
        <w:rPr>
          <w:b/>
          <w:sz w:val="24"/>
          <w:szCs w:val="24"/>
        </w:rPr>
        <w:t>ssess</w:t>
      </w:r>
    </w:p>
    <w:p w:rsidR="00001A3F" w:rsidRDefault="00001A3F" w:rsidP="00C00C53">
      <w:pPr>
        <w:spacing w:after="0" w:line="240" w:lineRule="auto"/>
        <w:rPr>
          <w:b/>
          <w:sz w:val="24"/>
          <w:szCs w:val="24"/>
        </w:rPr>
      </w:pPr>
    </w:p>
    <w:p w:rsidR="006B162E" w:rsidRDefault="00001A3F" w:rsidP="00C00C53">
      <w:pPr>
        <w:spacing w:after="0" w:line="240" w:lineRule="auto"/>
        <w:rPr>
          <w:sz w:val="24"/>
          <w:szCs w:val="24"/>
        </w:rPr>
      </w:pPr>
      <w:r>
        <w:rPr>
          <w:sz w:val="24"/>
          <w:szCs w:val="24"/>
        </w:rPr>
        <w:t xml:space="preserve">We support the aim </w:t>
      </w:r>
      <w:r w:rsidR="008E4091">
        <w:rPr>
          <w:sz w:val="24"/>
          <w:szCs w:val="24"/>
        </w:rPr>
        <w:t>of</w:t>
      </w:r>
      <w:r>
        <w:rPr>
          <w:sz w:val="24"/>
          <w:szCs w:val="24"/>
        </w:rPr>
        <w:t xml:space="preserve"> removing </w:t>
      </w:r>
      <w:r w:rsidR="008E4091">
        <w:rPr>
          <w:sz w:val="24"/>
          <w:szCs w:val="24"/>
        </w:rPr>
        <w:t>the current requirement that assessments should</w:t>
      </w:r>
      <w:r w:rsidR="00BA11F5">
        <w:rPr>
          <w:sz w:val="24"/>
          <w:szCs w:val="24"/>
        </w:rPr>
        <w:t xml:space="preserve"> always</w:t>
      </w:r>
      <w:r w:rsidR="008E4091">
        <w:rPr>
          <w:sz w:val="24"/>
          <w:szCs w:val="24"/>
        </w:rPr>
        <w:t xml:space="preserve"> take place prior to hospital discharge</w:t>
      </w:r>
      <w:r w:rsidR="00BA11F5">
        <w:rPr>
          <w:sz w:val="24"/>
          <w:szCs w:val="24"/>
        </w:rPr>
        <w:t xml:space="preserve"> as this is clearly against established best practice</w:t>
      </w:r>
      <w:r w:rsidR="008E4091">
        <w:rPr>
          <w:sz w:val="24"/>
          <w:szCs w:val="24"/>
        </w:rPr>
        <w:t>. In making any legal changes in support of this, it will be important to ensure there is appropriate cross-referencing to the relevant parts of the Care Act and</w:t>
      </w:r>
      <w:r w:rsidR="00BA11F5">
        <w:rPr>
          <w:sz w:val="24"/>
          <w:szCs w:val="24"/>
        </w:rPr>
        <w:t>,</w:t>
      </w:r>
      <w:r w:rsidR="008E4091">
        <w:rPr>
          <w:sz w:val="24"/>
          <w:szCs w:val="24"/>
        </w:rPr>
        <w:t xml:space="preserve"> importantly, </w:t>
      </w:r>
      <w:r w:rsidR="00BA11F5">
        <w:rPr>
          <w:sz w:val="24"/>
          <w:szCs w:val="24"/>
        </w:rPr>
        <w:t>it should be made clear t</w:t>
      </w:r>
      <w:r w:rsidR="008E4091">
        <w:rPr>
          <w:sz w:val="24"/>
          <w:szCs w:val="24"/>
        </w:rPr>
        <w:t xml:space="preserve">hat NHS responsibilities for playing its part in ensuring safe and person-centred discharge processes are </w:t>
      </w:r>
      <w:r w:rsidR="00BA11F5">
        <w:rPr>
          <w:sz w:val="24"/>
          <w:szCs w:val="24"/>
        </w:rPr>
        <w:t xml:space="preserve">not </w:t>
      </w:r>
      <w:r w:rsidR="008E4091">
        <w:rPr>
          <w:sz w:val="24"/>
          <w:szCs w:val="24"/>
        </w:rPr>
        <w:t>diminished in anyway.</w:t>
      </w:r>
      <w:r w:rsidR="006B162E">
        <w:rPr>
          <w:sz w:val="24"/>
          <w:szCs w:val="24"/>
        </w:rPr>
        <w:t xml:space="preserve"> </w:t>
      </w:r>
    </w:p>
    <w:p w:rsidR="006B162E" w:rsidRDefault="006B162E" w:rsidP="00C00C53">
      <w:pPr>
        <w:spacing w:after="0" w:line="240" w:lineRule="auto"/>
        <w:rPr>
          <w:sz w:val="24"/>
          <w:szCs w:val="24"/>
        </w:rPr>
      </w:pPr>
    </w:p>
    <w:p w:rsidR="006B162E" w:rsidRPr="00660245" w:rsidRDefault="006B162E" w:rsidP="00C00C53">
      <w:pPr>
        <w:spacing w:after="0" w:line="240" w:lineRule="auto"/>
        <w:rPr>
          <w:b/>
          <w:sz w:val="24"/>
          <w:szCs w:val="24"/>
        </w:rPr>
      </w:pPr>
      <w:r w:rsidRPr="00660245">
        <w:rPr>
          <w:sz w:val="24"/>
          <w:szCs w:val="24"/>
        </w:rPr>
        <w:t xml:space="preserve">It is essential that all the components for safe and effective discharges are </w:t>
      </w:r>
      <w:r w:rsidR="00E5177C" w:rsidRPr="00660245">
        <w:rPr>
          <w:sz w:val="24"/>
          <w:szCs w:val="24"/>
        </w:rPr>
        <w:t>i</w:t>
      </w:r>
      <w:r w:rsidRPr="00660245">
        <w:rPr>
          <w:sz w:val="24"/>
          <w:szCs w:val="24"/>
        </w:rPr>
        <w:t>n place (e.g</w:t>
      </w:r>
      <w:r w:rsidR="006537BB" w:rsidRPr="00660245">
        <w:rPr>
          <w:sz w:val="24"/>
          <w:szCs w:val="24"/>
        </w:rPr>
        <w:t>. assessment, rehabilitation, community health</w:t>
      </w:r>
      <w:r w:rsidR="00E5177C" w:rsidRPr="00660245">
        <w:rPr>
          <w:sz w:val="24"/>
          <w:szCs w:val="24"/>
        </w:rPr>
        <w:t xml:space="preserve">, together with </w:t>
      </w:r>
      <w:r w:rsidR="006537BB" w:rsidRPr="00660245">
        <w:rPr>
          <w:sz w:val="24"/>
          <w:szCs w:val="24"/>
        </w:rPr>
        <w:t xml:space="preserve">specialist health input where this is required) and that </w:t>
      </w:r>
      <w:r w:rsidRPr="00660245">
        <w:rPr>
          <w:sz w:val="24"/>
          <w:szCs w:val="24"/>
        </w:rPr>
        <w:t xml:space="preserve">social care is properly resourced to support the discharge to assess approach, especially given that we </w:t>
      </w:r>
      <w:r w:rsidR="006537BB" w:rsidRPr="00660245">
        <w:rPr>
          <w:sz w:val="24"/>
          <w:szCs w:val="24"/>
        </w:rPr>
        <w:t xml:space="preserve">can </w:t>
      </w:r>
      <w:r w:rsidRPr="00660245">
        <w:rPr>
          <w:sz w:val="24"/>
          <w:szCs w:val="24"/>
        </w:rPr>
        <w:t xml:space="preserve">expect a greater need for social care support as a </w:t>
      </w:r>
      <w:r w:rsidRPr="00660245">
        <w:rPr>
          <w:sz w:val="24"/>
          <w:szCs w:val="24"/>
        </w:rPr>
        <w:lastRenderedPageBreak/>
        <w:t>result of long Covi</w:t>
      </w:r>
      <w:r w:rsidR="009354A2">
        <w:rPr>
          <w:sz w:val="24"/>
          <w:szCs w:val="24"/>
        </w:rPr>
        <w:t xml:space="preserve">d. Workforce availability across the board will be key to successful implementation. </w:t>
      </w:r>
    </w:p>
    <w:p w:rsidR="006537BB" w:rsidRPr="00660245" w:rsidRDefault="006537BB" w:rsidP="00C00C53">
      <w:pPr>
        <w:spacing w:after="0" w:line="240" w:lineRule="auto"/>
        <w:rPr>
          <w:b/>
          <w:sz w:val="24"/>
          <w:szCs w:val="24"/>
        </w:rPr>
      </w:pPr>
    </w:p>
    <w:p w:rsidR="00B17D99" w:rsidRPr="006D39EF" w:rsidRDefault="00B17D99" w:rsidP="00C00C53">
      <w:pPr>
        <w:spacing w:after="0" w:line="240" w:lineRule="auto"/>
        <w:rPr>
          <w:b/>
          <w:sz w:val="24"/>
          <w:szCs w:val="24"/>
        </w:rPr>
      </w:pPr>
      <w:r w:rsidRPr="006D39EF">
        <w:rPr>
          <w:b/>
          <w:sz w:val="24"/>
          <w:szCs w:val="24"/>
        </w:rPr>
        <w:t>Conclusion</w:t>
      </w:r>
    </w:p>
    <w:p w:rsidR="00B17D99" w:rsidRDefault="00B17D99" w:rsidP="00C00C53">
      <w:pPr>
        <w:spacing w:after="0" w:line="240" w:lineRule="auto"/>
        <w:rPr>
          <w:sz w:val="24"/>
          <w:szCs w:val="24"/>
        </w:rPr>
      </w:pPr>
    </w:p>
    <w:p w:rsidR="006D39EF" w:rsidRPr="006D39EF" w:rsidRDefault="006D39EF" w:rsidP="00C00C53">
      <w:pPr>
        <w:spacing w:after="0" w:line="240" w:lineRule="auto"/>
        <w:rPr>
          <w:sz w:val="24"/>
          <w:szCs w:val="24"/>
        </w:rPr>
      </w:pPr>
      <w:r w:rsidRPr="006D39EF">
        <w:rPr>
          <w:sz w:val="24"/>
          <w:szCs w:val="24"/>
        </w:rPr>
        <w:t>TLAP has a breadth and depth of knowledge and insight that comes from having over 50 partners and ten years of experience of working in co-productive ways across the care and support sector. We have particular expertise in co-production, personalised commissioning, self-directed support, and asset-based approaches.</w:t>
      </w:r>
      <w:r>
        <w:rPr>
          <w:sz w:val="24"/>
          <w:szCs w:val="24"/>
        </w:rPr>
        <w:t xml:space="preserve"> We look forward to working with the DHSC and others</w:t>
      </w:r>
      <w:r w:rsidR="003A1C04">
        <w:rPr>
          <w:sz w:val="24"/>
          <w:szCs w:val="24"/>
        </w:rPr>
        <w:t xml:space="preserve"> partners</w:t>
      </w:r>
      <w:r>
        <w:rPr>
          <w:sz w:val="24"/>
          <w:szCs w:val="24"/>
        </w:rPr>
        <w:t xml:space="preserve"> in order t</w:t>
      </w:r>
      <w:r w:rsidR="003A1C04">
        <w:rPr>
          <w:sz w:val="24"/>
          <w:szCs w:val="24"/>
        </w:rPr>
        <w:t>hat the ambitions laid out in the White Paper can be achieved with the central purpose of improving the health and wellbeing of the population and reducing inequalities.</w:t>
      </w:r>
    </w:p>
    <w:p w:rsidR="006D39EF" w:rsidRDefault="006D39EF" w:rsidP="00C00C53">
      <w:pPr>
        <w:spacing w:after="0" w:line="240" w:lineRule="auto"/>
        <w:rPr>
          <w:sz w:val="24"/>
          <w:szCs w:val="24"/>
        </w:rPr>
      </w:pPr>
    </w:p>
    <w:p w:rsidR="006D39EF" w:rsidRDefault="006D39EF">
      <w:pPr>
        <w:rPr>
          <w:sz w:val="24"/>
          <w:szCs w:val="24"/>
        </w:rPr>
      </w:pPr>
    </w:p>
    <w:sectPr w:rsidR="006D39EF" w:rsidSect="008A6F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58" w:rsidRDefault="00BA5C58" w:rsidP="004B12B6">
      <w:pPr>
        <w:spacing w:after="0" w:line="240" w:lineRule="auto"/>
      </w:pPr>
      <w:r>
        <w:separator/>
      </w:r>
    </w:p>
  </w:endnote>
  <w:endnote w:type="continuationSeparator" w:id="0">
    <w:p w:rsidR="00BA5C58" w:rsidRDefault="00BA5C58" w:rsidP="004B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41454"/>
      <w:docPartObj>
        <w:docPartGallery w:val="Page Numbers (Bottom of Page)"/>
        <w:docPartUnique/>
      </w:docPartObj>
    </w:sdtPr>
    <w:sdtEndPr>
      <w:rPr>
        <w:color w:val="7F7F7F" w:themeColor="background1" w:themeShade="7F"/>
        <w:spacing w:val="60"/>
      </w:rPr>
    </w:sdtEndPr>
    <w:sdtContent>
      <w:p w:rsidR="006C0CFC" w:rsidRDefault="00792BF1">
        <w:pPr>
          <w:pStyle w:val="Footer"/>
          <w:pBdr>
            <w:top w:val="single" w:sz="4" w:space="1" w:color="D9D9D9" w:themeColor="background1" w:themeShade="D9"/>
          </w:pBdr>
          <w:rPr>
            <w:b/>
          </w:rPr>
        </w:pPr>
        <w:r>
          <w:fldChar w:fldCharType="begin"/>
        </w:r>
        <w:r w:rsidR="007A7679">
          <w:instrText xml:space="preserve"> PAGE   \* MERGEFORMAT </w:instrText>
        </w:r>
        <w:r>
          <w:fldChar w:fldCharType="separate"/>
        </w:r>
        <w:r w:rsidR="009354A2" w:rsidRPr="009354A2">
          <w:rPr>
            <w:b/>
            <w:noProof/>
          </w:rPr>
          <w:t>4</w:t>
        </w:r>
        <w:r>
          <w:rPr>
            <w:b/>
            <w:noProof/>
          </w:rPr>
          <w:fldChar w:fldCharType="end"/>
        </w:r>
        <w:r w:rsidR="006C0CFC">
          <w:rPr>
            <w:b/>
          </w:rPr>
          <w:t xml:space="preserve"> | </w:t>
        </w:r>
        <w:r w:rsidR="006C0CFC">
          <w:rPr>
            <w:color w:val="7F7F7F" w:themeColor="background1" w:themeShade="7F"/>
            <w:spacing w:val="60"/>
          </w:rPr>
          <w:t>Page</w:t>
        </w:r>
      </w:p>
    </w:sdtContent>
  </w:sdt>
  <w:p w:rsidR="006C0CFC" w:rsidRDefault="006C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58" w:rsidRDefault="00BA5C58" w:rsidP="004B12B6">
      <w:pPr>
        <w:spacing w:after="0" w:line="240" w:lineRule="auto"/>
      </w:pPr>
      <w:r>
        <w:separator/>
      </w:r>
    </w:p>
  </w:footnote>
  <w:footnote w:type="continuationSeparator" w:id="0">
    <w:p w:rsidR="00BA5C58" w:rsidRDefault="00BA5C58" w:rsidP="004B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311"/>
    <w:multiLevelType w:val="hybridMultilevel"/>
    <w:tmpl w:val="CE8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BB647E"/>
    <w:multiLevelType w:val="multilevel"/>
    <w:tmpl w:val="F1D8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3062DE"/>
    <w:multiLevelType w:val="hybridMultilevel"/>
    <w:tmpl w:val="3640A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2F4"/>
    <w:rsid w:val="00001A3F"/>
    <w:rsid w:val="00001F6A"/>
    <w:rsid w:val="00026B92"/>
    <w:rsid w:val="00034C2B"/>
    <w:rsid w:val="00073A0F"/>
    <w:rsid w:val="000919A4"/>
    <w:rsid w:val="000977F6"/>
    <w:rsid w:val="000B1CA8"/>
    <w:rsid w:val="00103135"/>
    <w:rsid w:val="00112652"/>
    <w:rsid w:val="00120E7B"/>
    <w:rsid w:val="001215C9"/>
    <w:rsid w:val="00140756"/>
    <w:rsid w:val="001408D1"/>
    <w:rsid w:val="00153C6A"/>
    <w:rsid w:val="0015750D"/>
    <w:rsid w:val="00183648"/>
    <w:rsid w:val="00184043"/>
    <w:rsid w:val="001D75CA"/>
    <w:rsid w:val="001E1DD5"/>
    <w:rsid w:val="00205AAE"/>
    <w:rsid w:val="00216EBA"/>
    <w:rsid w:val="0022015F"/>
    <w:rsid w:val="0022448C"/>
    <w:rsid w:val="00234459"/>
    <w:rsid w:val="00250BF2"/>
    <w:rsid w:val="002C50D0"/>
    <w:rsid w:val="002D2C41"/>
    <w:rsid w:val="0037451C"/>
    <w:rsid w:val="00385FAA"/>
    <w:rsid w:val="003A1C04"/>
    <w:rsid w:val="003C1BBA"/>
    <w:rsid w:val="004006A1"/>
    <w:rsid w:val="00407E82"/>
    <w:rsid w:val="0041318E"/>
    <w:rsid w:val="004227E7"/>
    <w:rsid w:val="00495320"/>
    <w:rsid w:val="004A564F"/>
    <w:rsid w:val="004A7B0F"/>
    <w:rsid w:val="004B12B6"/>
    <w:rsid w:val="004C6AE5"/>
    <w:rsid w:val="00542A1C"/>
    <w:rsid w:val="005561DA"/>
    <w:rsid w:val="005B5CEF"/>
    <w:rsid w:val="006009DF"/>
    <w:rsid w:val="006429C0"/>
    <w:rsid w:val="006537BB"/>
    <w:rsid w:val="00660245"/>
    <w:rsid w:val="0068136A"/>
    <w:rsid w:val="006B162E"/>
    <w:rsid w:val="006C0CFC"/>
    <w:rsid w:val="006C13D3"/>
    <w:rsid w:val="006D39EF"/>
    <w:rsid w:val="00742893"/>
    <w:rsid w:val="007508E2"/>
    <w:rsid w:val="0077042E"/>
    <w:rsid w:val="00785EF7"/>
    <w:rsid w:val="00792BF1"/>
    <w:rsid w:val="007A7679"/>
    <w:rsid w:val="007C0594"/>
    <w:rsid w:val="008605A5"/>
    <w:rsid w:val="008614EE"/>
    <w:rsid w:val="00863C81"/>
    <w:rsid w:val="00882776"/>
    <w:rsid w:val="008A6F27"/>
    <w:rsid w:val="008E4091"/>
    <w:rsid w:val="009219A9"/>
    <w:rsid w:val="009354A2"/>
    <w:rsid w:val="00975409"/>
    <w:rsid w:val="009856C2"/>
    <w:rsid w:val="00A3080E"/>
    <w:rsid w:val="00A509EF"/>
    <w:rsid w:val="00A91025"/>
    <w:rsid w:val="00AE63E8"/>
    <w:rsid w:val="00B17D99"/>
    <w:rsid w:val="00B549BA"/>
    <w:rsid w:val="00B81D9F"/>
    <w:rsid w:val="00B83017"/>
    <w:rsid w:val="00B924F3"/>
    <w:rsid w:val="00B94557"/>
    <w:rsid w:val="00B96289"/>
    <w:rsid w:val="00BA11F5"/>
    <w:rsid w:val="00BA5C58"/>
    <w:rsid w:val="00BD137A"/>
    <w:rsid w:val="00BD5596"/>
    <w:rsid w:val="00BE0528"/>
    <w:rsid w:val="00C00C53"/>
    <w:rsid w:val="00C0344F"/>
    <w:rsid w:val="00C27469"/>
    <w:rsid w:val="00C432F4"/>
    <w:rsid w:val="00C624EC"/>
    <w:rsid w:val="00C82777"/>
    <w:rsid w:val="00CF3B82"/>
    <w:rsid w:val="00D258B2"/>
    <w:rsid w:val="00D25F91"/>
    <w:rsid w:val="00D33D17"/>
    <w:rsid w:val="00D3530F"/>
    <w:rsid w:val="00D35A51"/>
    <w:rsid w:val="00D536EE"/>
    <w:rsid w:val="00D7362F"/>
    <w:rsid w:val="00DA571D"/>
    <w:rsid w:val="00DE664E"/>
    <w:rsid w:val="00E04867"/>
    <w:rsid w:val="00E316ED"/>
    <w:rsid w:val="00E41BF0"/>
    <w:rsid w:val="00E5177C"/>
    <w:rsid w:val="00E63C6E"/>
    <w:rsid w:val="00E7218F"/>
    <w:rsid w:val="00ED06DA"/>
    <w:rsid w:val="00F53D68"/>
    <w:rsid w:val="00F54818"/>
    <w:rsid w:val="00F57F24"/>
    <w:rsid w:val="00FA1457"/>
    <w:rsid w:val="00FE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FBF0"/>
  <w15:docId w15:val="{BD65ACBA-566B-4570-9E5E-A3799DBB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B96289"/>
    <w:pPr>
      <w:spacing w:after="160" w:line="259" w:lineRule="auto"/>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96289"/>
  </w:style>
  <w:style w:type="paragraph" w:styleId="BalloonText">
    <w:name w:val="Balloon Text"/>
    <w:basedOn w:val="Normal"/>
    <w:link w:val="BalloonTextChar"/>
    <w:uiPriority w:val="99"/>
    <w:semiHidden/>
    <w:unhideWhenUsed/>
    <w:rsid w:val="0055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DA"/>
    <w:rPr>
      <w:rFonts w:ascii="Tahoma" w:hAnsi="Tahoma" w:cs="Tahoma"/>
      <w:sz w:val="16"/>
      <w:szCs w:val="16"/>
    </w:rPr>
  </w:style>
  <w:style w:type="character" w:styleId="Hyperlink">
    <w:name w:val="Hyperlink"/>
    <w:basedOn w:val="DefaultParagraphFont"/>
    <w:uiPriority w:val="99"/>
    <w:unhideWhenUsed/>
    <w:rsid w:val="00882776"/>
    <w:rPr>
      <w:color w:val="0000FF" w:themeColor="hyperlink"/>
      <w:u w:val="single"/>
    </w:rPr>
  </w:style>
  <w:style w:type="character" w:customStyle="1" w:styleId="UnresolvedMention1">
    <w:name w:val="Unresolved Mention1"/>
    <w:basedOn w:val="DefaultParagraphFont"/>
    <w:uiPriority w:val="99"/>
    <w:semiHidden/>
    <w:unhideWhenUsed/>
    <w:rsid w:val="00882776"/>
    <w:rPr>
      <w:color w:val="605E5C"/>
      <w:shd w:val="clear" w:color="auto" w:fill="E1DFDD"/>
    </w:rPr>
  </w:style>
  <w:style w:type="character" w:styleId="CommentReference">
    <w:name w:val="annotation reference"/>
    <w:basedOn w:val="DefaultParagraphFont"/>
    <w:uiPriority w:val="99"/>
    <w:semiHidden/>
    <w:unhideWhenUsed/>
    <w:rsid w:val="000977F6"/>
    <w:rPr>
      <w:sz w:val="16"/>
      <w:szCs w:val="16"/>
    </w:rPr>
  </w:style>
  <w:style w:type="paragraph" w:styleId="CommentText">
    <w:name w:val="annotation text"/>
    <w:basedOn w:val="Normal"/>
    <w:link w:val="CommentTextChar"/>
    <w:uiPriority w:val="99"/>
    <w:semiHidden/>
    <w:unhideWhenUsed/>
    <w:rsid w:val="000977F6"/>
    <w:pPr>
      <w:spacing w:line="240" w:lineRule="auto"/>
    </w:pPr>
    <w:rPr>
      <w:sz w:val="20"/>
      <w:szCs w:val="20"/>
    </w:rPr>
  </w:style>
  <w:style w:type="character" w:customStyle="1" w:styleId="CommentTextChar">
    <w:name w:val="Comment Text Char"/>
    <w:basedOn w:val="DefaultParagraphFont"/>
    <w:link w:val="CommentText"/>
    <w:uiPriority w:val="99"/>
    <w:semiHidden/>
    <w:rsid w:val="000977F6"/>
    <w:rPr>
      <w:sz w:val="20"/>
      <w:szCs w:val="20"/>
    </w:rPr>
  </w:style>
  <w:style w:type="paragraph" w:styleId="CommentSubject">
    <w:name w:val="annotation subject"/>
    <w:basedOn w:val="CommentText"/>
    <w:next w:val="CommentText"/>
    <w:link w:val="CommentSubjectChar"/>
    <w:uiPriority w:val="99"/>
    <w:semiHidden/>
    <w:unhideWhenUsed/>
    <w:rsid w:val="000977F6"/>
    <w:rPr>
      <w:b/>
      <w:bCs/>
    </w:rPr>
  </w:style>
  <w:style w:type="character" w:customStyle="1" w:styleId="CommentSubjectChar">
    <w:name w:val="Comment Subject Char"/>
    <w:basedOn w:val="CommentTextChar"/>
    <w:link w:val="CommentSubject"/>
    <w:uiPriority w:val="99"/>
    <w:semiHidden/>
    <w:rsid w:val="000977F6"/>
    <w:rPr>
      <w:b/>
      <w:bCs/>
      <w:sz w:val="20"/>
      <w:szCs w:val="20"/>
    </w:rPr>
  </w:style>
  <w:style w:type="paragraph" w:styleId="Header">
    <w:name w:val="header"/>
    <w:basedOn w:val="Normal"/>
    <w:link w:val="HeaderChar"/>
    <w:uiPriority w:val="99"/>
    <w:semiHidden/>
    <w:unhideWhenUsed/>
    <w:rsid w:val="004B12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2B6"/>
  </w:style>
  <w:style w:type="paragraph" w:styleId="Footer">
    <w:name w:val="footer"/>
    <w:basedOn w:val="Normal"/>
    <w:link w:val="FooterChar"/>
    <w:uiPriority w:val="99"/>
    <w:unhideWhenUsed/>
    <w:rsid w:val="004B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B6"/>
  </w:style>
  <w:style w:type="character" w:customStyle="1" w:styleId="mark4nsjjawrt">
    <w:name w:val="mark4nsjjawrt"/>
    <w:basedOn w:val="DefaultParagraphFont"/>
    <w:rsid w:val="00D33D17"/>
  </w:style>
  <w:style w:type="character" w:customStyle="1" w:styleId="mark605nxxzox">
    <w:name w:val="mark605nxxzox"/>
    <w:basedOn w:val="DefaultParagraphFont"/>
    <w:rsid w:val="00D3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98060">
      <w:bodyDiv w:val="1"/>
      <w:marLeft w:val="0"/>
      <w:marRight w:val="0"/>
      <w:marTop w:val="0"/>
      <w:marBottom w:val="0"/>
      <w:divBdr>
        <w:top w:val="none" w:sz="0" w:space="0" w:color="auto"/>
        <w:left w:val="none" w:sz="0" w:space="0" w:color="auto"/>
        <w:bottom w:val="none" w:sz="0" w:space="0" w:color="auto"/>
        <w:right w:val="none" w:sz="0" w:space="0" w:color="auto"/>
      </w:divBdr>
      <w:divsChild>
        <w:div w:id="535238151">
          <w:marLeft w:val="0"/>
          <w:marRight w:val="0"/>
          <w:marTop w:val="0"/>
          <w:marBottom w:val="0"/>
          <w:divBdr>
            <w:top w:val="none" w:sz="0" w:space="0" w:color="auto"/>
            <w:left w:val="none" w:sz="0" w:space="0" w:color="auto"/>
            <w:bottom w:val="none" w:sz="0" w:space="0" w:color="auto"/>
            <w:right w:val="none" w:sz="0" w:space="0" w:color="auto"/>
          </w:divBdr>
        </w:div>
        <w:div w:id="603533011">
          <w:marLeft w:val="0"/>
          <w:marRight w:val="0"/>
          <w:marTop w:val="0"/>
          <w:marBottom w:val="0"/>
          <w:divBdr>
            <w:top w:val="none" w:sz="0" w:space="0" w:color="auto"/>
            <w:left w:val="none" w:sz="0" w:space="0" w:color="auto"/>
            <w:bottom w:val="none" w:sz="0" w:space="0" w:color="auto"/>
            <w:right w:val="none" w:sz="0" w:space="0" w:color="auto"/>
          </w:divBdr>
        </w:div>
        <w:div w:id="1694962504">
          <w:marLeft w:val="0"/>
          <w:marRight w:val="0"/>
          <w:marTop w:val="0"/>
          <w:marBottom w:val="0"/>
          <w:divBdr>
            <w:top w:val="none" w:sz="0" w:space="0" w:color="auto"/>
            <w:left w:val="none" w:sz="0" w:space="0" w:color="auto"/>
            <w:bottom w:val="none" w:sz="0" w:space="0" w:color="auto"/>
            <w:right w:val="none" w:sz="0" w:space="0" w:color="auto"/>
          </w:divBdr>
        </w:div>
        <w:div w:id="791170020">
          <w:marLeft w:val="0"/>
          <w:marRight w:val="0"/>
          <w:marTop w:val="0"/>
          <w:marBottom w:val="0"/>
          <w:divBdr>
            <w:top w:val="none" w:sz="0" w:space="0" w:color="auto"/>
            <w:left w:val="none" w:sz="0" w:space="0" w:color="auto"/>
            <w:bottom w:val="none" w:sz="0" w:space="0" w:color="auto"/>
            <w:right w:val="none" w:sz="0" w:space="0" w:color="auto"/>
          </w:divBdr>
        </w:div>
        <w:div w:id="279067337">
          <w:marLeft w:val="0"/>
          <w:marRight w:val="0"/>
          <w:marTop w:val="0"/>
          <w:marBottom w:val="0"/>
          <w:divBdr>
            <w:top w:val="none" w:sz="0" w:space="0" w:color="auto"/>
            <w:left w:val="none" w:sz="0" w:space="0" w:color="auto"/>
            <w:bottom w:val="none" w:sz="0" w:space="0" w:color="auto"/>
            <w:right w:val="none" w:sz="0" w:space="0" w:color="auto"/>
          </w:divBdr>
        </w:div>
        <w:div w:id="1481070945">
          <w:marLeft w:val="0"/>
          <w:marRight w:val="0"/>
          <w:marTop w:val="0"/>
          <w:marBottom w:val="0"/>
          <w:divBdr>
            <w:top w:val="none" w:sz="0" w:space="0" w:color="auto"/>
            <w:left w:val="none" w:sz="0" w:space="0" w:color="auto"/>
            <w:bottom w:val="none" w:sz="0" w:space="0" w:color="auto"/>
            <w:right w:val="none" w:sz="0" w:space="0" w:color="auto"/>
          </w:divBdr>
        </w:div>
        <w:div w:id="1320689827">
          <w:marLeft w:val="0"/>
          <w:marRight w:val="0"/>
          <w:marTop w:val="0"/>
          <w:marBottom w:val="0"/>
          <w:divBdr>
            <w:top w:val="none" w:sz="0" w:space="0" w:color="auto"/>
            <w:left w:val="none" w:sz="0" w:space="0" w:color="auto"/>
            <w:bottom w:val="none" w:sz="0" w:space="0" w:color="auto"/>
            <w:right w:val="none" w:sz="0" w:space="0" w:color="auto"/>
          </w:divBdr>
          <w:divsChild>
            <w:div w:id="119761950">
              <w:marLeft w:val="0"/>
              <w:marRight w:val="0"/>
              <w:marTop w:val="0"/>
              <w:marBottom w:val="0"/>
              <w:divBdr>
                <w:top w:val="none" w:sz="0" w:space="0" w:color="auto"/>
                <w:left w:val="none" w:sz="0" w:space="0" w:color="auto"/>
                <w:bottom w:val="none" w:sz="0" w:space="0" w:color="auto"/>
                <w:right w:val="none" w:sz="0" w:space="0" w:color="auto"/>
              </w:divBdr>
            </w:div>
            <w:div w:id="1970889786">
              <w:marLeft w:val="0"/>
              <w:marRight w:val="0"/>
              <w:marTop w:val="0"/>
              <w:marBottom w:val="0"/>
              <w:divBdr>
                <w:top w:val="none" w:sz="0" w:space="0" w:color="auto"/>
                <w:left w:val="none" w:sz="0" w:space="0" w:color="auto"/>
                <w:bottom w:val="none" w:sz="0" w:space="0" w:color="auto"/>
                <w:right w:val="none" w:sz="0" w:space="0" w:color="auto"/>
              </w:divBdr>
            </w:div>
            <w:div w:id="7715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366">
      <w:bodyDiv w:val="1"/>
      <w:marLeft w:val="0"/>
      <w:marRight w:val="0"/>
      <w:marTop w:val="0"/>
      <w:marBottom w:val="0"/>
      <w:divBdr>
        <w:top w:val="none" w:sz="0" w:space="0" w:color="auto"/>
        <w:left w:val="none" w:sz="0" w:space="0" w:color="auto"/>
        <w:bottom w:val="none" w:sz="0" w:space="0" w:color="auto"/>
        <w:right w:val="none" w:sz="0" w:space="0" w:color="auto"/>
      </w:divBdr>
      <w:divsChild>
        <w:div w:id="1336348750">
          <w:marLeft w:val="0"/>
          <w:marRight w:val="0"/>
          <w:marTop w:val="0"/>
          <w:marBottom w:val="0"/>
          <w:divBdr>
            <w:top w:val="none" w:sz="0" w:space="0" w:color="auto"/>
            <w:left w:val="none" w:sz="0" w:space="0" w:color="auto"/>
            <w:bottom w:val="none" w:sz="0" w:space="0" w:color="auto"/>
            <w:right w:val="none" w:sz="0" w:space="0" w:color="auto"/>
          </w:divBdr>
        </w:div>
        <w:div w:id="317002866">
          <w:marLeft w:val="0"/>
          <w:marRight w:val="0"/>
          <w:marTop w:val="0"/>
          <w:marBottom w:val="0"/>
          <w:divBdr>
            <w:top w:val="none" w:sz="0" w:space="0" w:color="auto"/>
            <w:left w:val="none" w:sz="0" w:space="0" w:color="auto"/>
            <w:bottom w:val="none" w:sz="0" w:space="0" w:color="auto"/>
            <w:right w:val="none" w:sz="0" w:space="0" w:color="auto"/>
          </w:divBdr>
        </w:div>
        <w:div w:id="1836649463">
          <w:marLeft w:val="0"/>
          <w:marRight w:val="0"/>
          <w:marTop w:val="0"/>
          <w:marBottom w:val="0"/>
          <w:divBdr>
            <w:top w:val="none" w:sz="0" w:space="0" w:color="auto"/>
            <w:left w:val="none" w:sz="0" w:space="0" w:color="auto"/>
            <w:bottom w:val="none" w:sz="0" w:space="0" w:color="auto"/>
            <w:right w:val="none" w:sz="0" w:space="0" w:color="auto"/>
          </w:divBdr>
        </w:div>
        <w:div w:id="317462535">
          <w:marLeft w:val="0"/>
          <w:marRight w:val="0"/>
          <w:marTop w:val="0"/>
          <w:marBottom w:val="0"/>
          <w:divBdr>
            <w:top w:val="none" w:sz="0" w:space="0" w:color="auto"/>
            <w:left w:val="none" w:sz="0" w:space="0" w:color="auto"/>
            <w:bottom w:val="none" w:sz="0" w:space="0" w:color="auto"/>
            <w:right w:val="none" w:sz="0" w:space="0" w:color="auto"/>
          </w:divBdr>
        </w:div>
        <w:div w:id="1233195627">
          <w:marLeft w:val="0"/>
          <w:marRight w:val="0"/>
          <w:marTop w:val="0"/>
          <w:marBottom w:val="0"/>
          <w:divBdr>
            <w:top w:val="none" w:sz="0" w:space="0" w:color="auto"/>
            <w:left w:val="none" w:sz="0" w:space="0" w:color="auto"/>
            <w:bottom w:val="none" w:sz="0" w:space="0" w:color="auto"/>
            <w:right w:val="none" w:sz="0" w:space="0" w:color="auto"/>
          </w:divBdr>
        </w:div>
        <w:div w:id="795489812">
          <w:marLeft w:val="0"/>
          <w:marRight w:val="0"/>
          <w:marTop w:val="0"/>
          <w:marBottom w:val="0"/>
          <w:divBdr>
            <w:top w:val="none" w:sz="0" w:space="0" w:color="auto"/>
            <w:left w:val="none" w:sz="0" w:space="0" w:color="auto"/>
            <w:bottom w:val="none" w:sz="0" w:space="0" w:color="auto"/>
            <w:right w:val="none" w:sz="0" w:space="0" w:color="auto"/>
          </w:divBdr>
        </w:div>
        <w:div w:id="68394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inklocalactpersonal.org.uk/makingit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39585-4EB5-403B-8597-D61A6123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Sanchi Murison (TLAP)</cp:lastModifiedBy>
  <cp:revision>3</cp:revision>
  <cp:lastPrinted>2021-03-22T17:10:00Z</cp:lastPrinted>
  <dcterms:created xsi:type="dcterms:W3CDTF">2021-04-07T08:11:00Z</dcterms:created>
  <dcterms:modified xsi:type="dcterms:W3CDTF">2021-06-10T09:07:00Z</dcterms:modified>
</cp:coreProperties>
</file>